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79B" w:rsidRPr="00DF179B" w:rsidRDefault="00DF179B" w:rsidP="00A64A6D">
      <w:pPr>
        <w:ind w:firstLine="0"/>
        <w:jc w:val="center"/>
        <w:rPr>
          <w:rFonts w:cs="Times New Roman"/>
          <w:sz w:val="28"/>
          <w:szCs w:val="28"/>
          <w:u w:val="single"/>
        </w:rPr>
      </w:pPr>
      <w:r w:rsidRPr="00DF179B">
        <w:rPr>
          <w:rFonts w:cs="Times New Roman"/>
          <w:sz w:val="28"/>
          <w:szCs w:val="28"/>
          <w:u w:val="single"/>
        </w:rPr>
        <w:t xml:space="preserve">When Courts Get Involved: Mechitzot, </w:t>
      </w:r>
      <w:r w:rsidR="003E005A">
        <w:rPr>
          <w:rFonts w:cs="Times New Roman"/>
          <w:sz w:val="28"/>
          <w:szCs w:val="28"/>
          <w:u w:val="single"/>
        </w:rPr>
        <w:t xml:space="preserve">Melicha, </w:t>
      </w:r>
      <w:r w:rsidR="00226E27">
        <w:rPr>
          <w:rFonts w:cs="Times New Roman"/>
          <w:sz w:val="28"/>
          <w:szCs w:val="28"/>
          <w:u w:val="single"/>
        </w:rPr>
        <w:t>the Mashiach</w:t>
      </w:r>
      <w:r w:rsidRPr="00DF179B">
        <w:rPr>
          <w:rFonts w:cs="Times New Roman"/>
          <w:sz w:val="28"/>
          <w:szCs w:val="28"/>
          <w:u w:val="single"/>
        </w:rPr>
        <w:t xml:space="preserve">, and </w:t>
      </w:r>
      <w:r w:rsidR="00A64A6D">
        <w:rPr>
          <w:rFonts w:cs="Times New Roman"/>
          <w:sz w:val="28"/>
          <w:szCs w:val="28"/>
          <w:u w:val="single"/>
        </w:rPr>
        <w:t>More</w:t>
      </w:r>
      <w:bookmarkStart w:id="0" w:name="_GoBack"/>
      <w:bookmarkEnd w:id="0"/>
    </w:p>
    <w:p w:rsidR="00735B18" w:rsidRPr="00DF179B" w:rsidRDefault="00735B18" w:rsidP="00971C01">
      <w:pPr>
        <w:spacing w:line="420" w:lineRule="atLeast"/>
        <w:ind w:firstLine="0"/>
        <w:jc w:val="left"/>
        <w:rPr>
          <w:rFonts w:eastAsia="Times New Roman" w:cs="Times New Roman"/>
          <w:kern w:val="0"/>
          <w:szCs w:val="24"/>
        </w:rPr>
      </w:pPr>
    </w:p>
    <w:p w:rsidR="00DF179B" w:rsidRPr="00DF179B" w:rsidRDefault="00DF179B" w:rsidP="00DF179B">
      <w:pPr>
        <w:ind w:firstLine="0"/>
        <w:jc w:val="left"/>
        <w:rPr>
          <w:rFonts w:eastAsia="Times New Roman" w:cs="Times New Roman"/>
          <w:kern w:val="0"/>
          <w:szCs w:val="24"/>
        </w:rPr>
      </w:pPr>
      <w:r w:rsidRPr="00DF179B">
        <w:rPr>
          <w:rFonts w:eastAsia="Times New Roman" w:cs="Times New Roman"/>
          <w:b/>
          <w:kern w:val="0"/>
          <w:szCs w:val="24"/>
        </w:rPr>
        <w:t>1)</w:t>
      </w:r>
      <w:r w:rsidRPr="00DF179B">
        <w:rPr>
          <w:rFonts w:eastAsia="Times New Roman" w:cs="Times New Roman"/>
          <w:kern w:val="0"/>
          <w:szCs w:val="24"/>
        </w:rPr>
        <w:t xml:space="preserve"> </w:t>
      </w:r>
      <w:r w:rsidR="00597FCF">
        <w:rPr>
          <w:rFonts w:eastAsia="Times New Roman" w:cs="Times New Roman"/>
          <w:i/>
          <w:kern w:val="0"/>
          <w:szCs w:val="24"/>
        </w:rPr>
        <w:t>Merkos L’</w:t>
      </w:r>
      <w:r w:rsidRPr="00DF179B">
        <w:rPr>
          <w:rFonts w:eastAsia="Times New Roman" w:cs="Times New Roman"/>
          <w:i/>
          <w:kern w:val="0"/>
          <w:szCs w:val="24"/>
        </w:rPr>
        <w:t>Inyonei Chinuch, Inc. v. Sharf</w:t>
      </w:r>
      <w:r w:rsidRPr="00DF179B">
        <w:rPr>
          <w:rFonts w:eastAsia="Times New Roman" w:cs="Times New Roman"/>
          <w:kern w:val="0"/>
          <w:szCs w:val="24"/>
        </w:rPr>
        <w:t>, 873 N.Y.S.2d 148 (N.Y. App. Div. 2009)</w:t>
      </w:r>
    </w:p>
    <w:p w:rsidR="00971C01" w:rsidRPr="00DF179B" w:rsidRDefault="00971C01" w:rsidP="00B96CA5">
      <w:pPr>
        <w:ind w:firstLine="0"/>
        <w:jc w:val="left"/>
        <w:rPr>
          <w:rFonts w:eastAsia="Times New Roman" w:cs="Times New Roman"/>
          <w:kern w:val="0"/>
          <w:szCs w:val="24"/>
        </w:rPr>
      </w:pPr>
    </w:p>
    <w:p w:rsidR="00DF179B" w:rsidRPr="00DF179B" w:rsidRDefault="00DF179B" w:rsidP="002C2BA7">
      <w:pPr>
        <w:ind w:firstLine="0"/>
        <w:jc w:val="left"/>
        <w:rPr>
          <w:rFonts w:eastAsia="Times New Roman" w:cs="Times New Roman"/>
          <w:kern w:val="0"/>
          <w:szCs w:val="24"/>
        </w:rPr>
      </w:pPr>
      <w:r w:rsidRPr="00DF179B">
        <w:rPr>
          <w:rFonts w:eastAsia="Times New Roman" w:cs="Times New Roman"/>
          <w:kern w:val="0"/>
          <w:szCs w:val="24"/>
        </w:rPr>
        <w:t>“Contrary to CLI’</w:t>
      </w:r>
      <w:r w:rsidR="00B96CA5" w:rsidRPr="00DF179B">
        <w:rPr>
          <w:rFonts w:eastAsia="Times New Roman" w:cs="Times New Roman"/>
          <w:kern w:val="0"/>
          <w:szCs w:val="24"/>
        </w:rPr>
        <w:t>s argument, the existence of a divisive doctrinal dispute within the Lubavitch community does not render this action nonjusticiable, even if the facts underlying the action arise from that dispute and, as CLI suggests, the commencement of the action was motivated by that dispute. Property disputes between rival religious factions may be resolved by courts, despite the underlying doctrinal controversy, when it is possible to do so on the basis of neutral principles of law</w:t>
      </w:r>
      <w:r w:rsidRPr="00DF179B">
        <w:rPr>
          <w:rFonts w:eastAsia="Times New Roman" w:cs="Times New Roman"/>
          <w:kern w:val="0"/>
          <w:szCs w:val="24"/>
        </w:rPr>
        <w:t>.”</w:t>
      </w:r>
      <w:r w:rsidR="00B96CA5" w:rsidRPr="00DF179B">
        <w:rPr>
          <w:rFonts w:eastAsia="Times New Roman" w:cs="Times New Roman"/>
          <w:kern w:val="0"/>
          <w:szCs w:val="24"/>
        </w:rPr>
        <w:br/>
      </w:r>
    </w:p>
    <w:p w:rsidR="00DF179B" w:rsidRPr="00DF179B" w:rsidRDefault="00DF179B" w:rsidP="002C2BA7">
      <w:pPr>
        <w:ind w:firstLine="0"/>
        <w:jc w:val="left"/>
        <w:rPr>
          <w:rFonts w:eastAsia="Times New Roman" w:cs="Times New Roman"/>
          <w:b/>
          <w:kern w:val="0"/>
          <w:szCs w:val="24"/>
        </w:rPr>
      </w:pPr>
      <w:r w:rsidRPr="00DF179B">
        <w:rPr>
          <w:rFonts w:eastAsia="Times New Roman" w:cs="Times New Roman"/>
          <w:b/>
          <w:kern w:val="0"/>
          <w:szCs w:val="24"/>
        </w:rPr>
        <w:t>2)</w:t>
      </w:r>
      <w:r>
        <w:rPr>
          <w:rFonts w:eastAsia="Times New Roman" w:cs="Times New Roman"/>
          <w:b/>
          <w:kern w:val="0"/>
          <w:szCs w:val="24"/>
        </w:rPr>
        <w:t xml:space="preserve"> </w:t>
      </w:r>
      <w:r w:rsidRPr="00DF179B">
        <w:rPr>
          <w:i/>
        </w:rPr>
        <w:t>Signature Bank NA v. Koschitzki</w:t>
      </w:r>
      <w:r>
        <w:t xml:space="preserve">, </w:t>
      </w:r>
      <w:r w:rsidRPr="00DF179B">
        <w:t>58 N.Y.S.3d 913 (</w:t>
      </w:r>
      <w:r>
        <w:t xml:space="preserve">N.Y. Sup. Ct. </w:t>
      </w:r>
      <w:r w:rsidRPr="00DF179B">
        <w:t>Jul. 27, 2017).</w:t>
      </w:r>
    </w:p>
    <w:p w:rsidR="00DF179B" w:rsidRPr="00DF179B" w:rsidRDefault="00DF179B" w:rsidP="002C2BA7">
      <w:pPr>
        <w:ind w:firstLine="0"/>
        <w:jc w:val="left"/>
        <w:rPr>
          <w:rFonts w:eastAsia="Times New Roman" w:cs="Times New Roman"/>
          <w:kern w:val="0"/>
          <w:szCs w:val="24"/>
        </w:rPr>
      </w:pPr>
    </w:p>
    <w:p w:rsidR="00DF179B" w:rsidRDefault="00DF179B" w:rsidP="002C2BA7">
      <w:pPr>
        <w:ind w:firstLine="0"/>
        <w:jc w:val="left"/>
      </w:pPr>
      <w:r w:rsidRPr="00DF179B">
        <w:t>“The Court understands that there is disagreement as to the time at which Sabbath ends among different groups of observant Jews. This Court does not believe it would be appropriate for it to determine the manner in which religious custom should be observed by any individual group or re</w:t>
      </w:r>
      <w:r>
        <w:t>quire that one particular group’</w:t>
      </w:r>
      <w:r w:rsidRPr="00DF179B">
        <w:t>s traditions be adhered to uniformly. The time asserted by defendants is not unreasonable given the conflicting opinions contained in different religious sources. Thus, the Court finds that plaintiff was in violation of General Business Law § 13 when it served defendants du</w:t>
      </w:r>
      <w:r>
        <w:t>ring their Sabbath observance.”</w:t>
      </w:r>
    </w:p>
    <w:p w:rsidR="00AD7DCA" w:rsidRDefault="00AD7DCA" w:rsidP="002C2BA7">
      <w:pPr>
        <w:ind w:firstLine="0"/>
        <w:jc w:val="left"/>
      </w:pPr>
    </w:p>
    <w:p w:rsidR="00AD7DCA" w:rsidRDefault="006552F1" w:rsidP="00AD7DCA">
      <w:pPr>
        <w:ind w:firstLine="0"/>
        <w:jc w:val="left"/>
      </w:pPr>
      <w:r>
        <w:rPr>
          <w:b/>
        </w:rPr>
        <w:t xml:space="preserve">3) </w:t>
      </w:r>
      <w:r w:rsidR="008248B5">
        <w:t>Talmud Bavli</w:t>
      </w:r>
      <w:r w:rsidR="00617E20">
        <w:t xml:space="preserve"> Sukkah 51a-b</w:t>
      </w:r>
    </w:p>
    <w:p w:rsidR="006552F1" w:rsidRDefault="006552F1" w:rsidP="00AD7DCA">
      <w:pPr>
        <w:ind w:firstLine="0"/>
        <w:jc w:val="left"/>
      </w:pPr>
    </w:p>
    <w:p w:rsidR="006552F1" w:rsidRPr="006E6874" w:rsidRDefault="00A57D92" w:rsidP="00A57D92">
      <w:pPr>
        <w:ind w:firstLine="0"/>
        <w:jc w:val="right"/>
        <w:rPr>
          <w:rFonts w:asciiTheme="majorBidi" w:hAnsiTheme="majorBidi" w:cstheme="majorBidi"/>
          <w:sz w:val="26"/>
          <w:szCs w:val="26"/>
          <w:rtl/>
          <w:lang w:bidi="he-IL"/>
        </w:rPr>
      </w:pPr>
      <w:r w:rsidRPr="006E6874">
        <w:rPr>
          <w:rFonts w:asciiTheme="majorBidi" w:hAnsiTheme="majorBidi" w:cstheme="majorBidi"/>
          <w:sz w:val="26"/>
          <w:szCs w:val="26"/>
          <w:rtl/>
          <w:lang w:bidi="he-IL"/>
        </w:rPr>
        <w:t>משנה. מי שלא ראה שמחת בית השואבה לא ראה שמחה מימיו. במוצאי יום טוב הראשון של חג ירדו לעזרת נשים ומתקנין שם תיקון גדול</w:t>
      </w:r>
      <w:r w:rsidR="006E6874" w:rsidRPr="006E6874">
        <w:rPr>
          <w:rFonts w:asciiTheme="majorBidi" w:hAnsiTheme="majorBidi" w:cstheme="majorBidi"/>
          <w:sz w:val="26"/>
          <w:szCs w:val="26"/>
          <w:rtl/>
          <w:lang w:bidi="he-IL"/>
        </w:rPr>
        <w:t>.</w:t>
      </w:r>
    </w:p>
    <w:p w:rsidR="006E6874" w:rsidRPr="006E6874" w:rsidRDefault="006E6874" w:rsidP="00A57D92">
      <w:pPr>
        <w:ind w:firstLine="0"/>
        <w:jc w:val="right"/>
        <w:rPr>
          <w:rFonts w:asciiTheme="majorBidi" w:hAnsiTheme="majorBidi" w:cstheme="majorBidi"/>
          <w:sz w:val="26"/>
          <w:szCs w:val="26"/>
          <w:rtl/>
          <w:lang w:bidi="he-IL"/>
        </w:rPr>
      </w:pPr>
    </w:p>
    <w:p w:rsidR="006E6874" w:rsidRPr="006552F1" w:rsidRDefault="006E6874" w:rsidP="00A57D92">
      <w:pPr>
        <w:ind w:firstLine="0"/>
        <w:jc w:val="right"/>
        <w:rPr>
          <w:rtl/>
          <w:lang w:bidi="he-IL"/>
        </w:rPr>
      </w:pPr>
      <w:r w:rsidRPr="006E6874">
        <w:rPr>
          <w:rFonts w:asciiTheme="majorBidi" w:hAnsiTheme="majorBidi" w:cstheme="majorBidi"/>
          <w:sz w:val="26"/>
          <w:szCs w:val="26"/>
          <w:rtl/>
          <w:lang w:bidi="he-IL"/>
        </w:rPr>
        <w:t>מאי תיקון גדול? - אמר רבי אלעזר: כאותה ששנינו, חלקה היתה בראשונה והקיפוה גזוזטרא, והתקינו שיהו נשים יושבות מלמעלה ואנשים מלמטה. תנו רבנן: בראשונה היו נשים מבפנים ואנשים מבחוץ, והיו באים לידי קלות ראש, התקינו שיהו נשים יושבות מבחוץ ואנשים מבפנים. ועדיין היו באין לידי קלות ראש. התקינו שיהו נשים יושבות מלמעלה ואנשים מלמטה</w:t>
      </w:r>
      <w:r>
        <w:rPr>
          <w:rFonts w:hint="cs"/>
          <w:rtl/>
          <w:lang w:bidi="he-IL"/>
        </w:rPr>
        <w:t>.</w:t>
      </w:r>
    </w:p>
    <w:p w:rsidR="00597FCF" w:rsidRDefault="00597FCF" w:rsidP="002C2BA7">
      <w:pPr>
        <w:ind w:firstLine="0"/>
        <w:jc w:val="left"/>
      </w:pPr>
    </w:p>
    <w:p w:rsidR="00597FCF" w:rsidRPr="00DF179B" w:rsidRDefault="006552F1" w:rsidP="00597FCF">
      <w:pPr>
        <w:ind w:firstLine="0"/>
        <w:jc w:val="left"/>
        <w:rPr>
          <w:rFonts w:eastAsia="Times New Roman" w:cs="Times New Roman"/>
          <w:kern w:val="0"/>
          <w:szCs w:val="24"/>
        </w:rPr>
      </w:pPr>
      <w:r>
        <w:rPr>
          <w:b/>
        </w:rPr>
        <w:t>4</w:t>
      </w:r>
      <w:r w:rsidR="00597FCF" w:rsidRPr="00597FCF">
        <w:rPr>
          <w:b/>
        </w:rPr>
        <w:t>)</w:t>
      </w:r>
      <w:r w:rsidR="00597FCF">
        <w:t xml:space="preserve"> </w:t>
      </w:r>
      <w:r w:rsidR="00597FCF" w:rsidRPr="00597FCF">
        <w:rPr>
          <w:rFonts w:eastAsia="Times New Roman" w:cs="Times New Roman"/>
          <w:i/>
          <w:kern w:val="0"/>
          <w:szCs w:val="24"/>
        </w:rPr>
        <w:t>Katz v. Goldman</w:t>
      </w:r>
      <w:r w:rsidR="00597FCF" w:rsidRPr="00DF179B">
        <w:rPr>
          <w:rFonts w:eastAsia="Times New Roman" w:cs="Times New Roman"/>
          <w:kern w:val="0"/>
          <w:szCs w:val="24"/>
        </w:rPr>
        <w:t>, 168 N.E. 763 (</w:t>
      </w:r>
      <w:r w:rsidR="00597FCF">
        <w:rPr>
          <w:rFonts w:eastAsia="Times New Roman" w:cs="Times New Roman"/>
          <w:kern w:val="0"/>
          <w:szCs w:val="24"/>
        </w:rPr>
        <w:t xml:space="preserve">Ohio Ct. App. </w:t>
      </w:r>
      <w:r w:rsidR="00597FCF" w:rsidRPr="00DF179B">
        <w:rPr>
          <w:rFonts w:eastAsia="Times New Roman" w:cs="Times New Roman"/>
          <w:kern w:val="0"/>
          <w:szCs w:val="24"/>
        </w:rPr>
        <w:t>1929)</w:t>
      </w:r>
    </w:p>
    <w:p w:rsidR="00597FCF" w:rsidRPr="00DF179B" w:rsidRDefault="00597FCF" w:rsidP="002C2BA7">
      <w:pPr>
        <w:ind w:firstLine="0"/>
        <w:jc w:val="left"/>
        <w:rPr>
          <w:rFonts w:eastAsia="Times New Roman" w:cs="Times New Roman"/>
          <w:kern w:val="0"/>
          <w:szCs w:val="24"/>
        </w:rPr>
      </w:pPr>
    </w:p>
    <w:p w:rsidR="002C2BA7" w:rsidRPr="00DF179B" w:rsidRDefault="00597FCF" w:rsidP="002C2BA7">
      <w:pPr>
        <w:ind w:firstLine="0"/>
        <w:jc w:val="left"/>
        <w:rPr>
          <w:rFonts w:eastAsia="Times New Roman" w:cs="Times New Roman"/>
          <w:kern w:val="0"/>
          <w:szCs w:val="24"/>
        </w:rPr>
      </w:pPr>
      <w:r>
        <w:rPr>
          <w:rFonts w:eastAsia="Times New Roman" w:cs="Times New Roman"/>
          <w:kern w:val="0"/>
          <w:szCs w:val="24"/>
        </w:rPr>
        <w:t>“</w:t>
      </w:r>
      <w:r w:rsidR="002C2BA7" w:rsidRPr="00DF179B">
        <w:rPr>
          <w:rFonts w:eastAsia="Times New Roman" w:cs="Times New Roman"/>
          <w:kern w:val="0"/>
          <w:szCs w:val="24"/>
        </w:rPr>
        <w:t>By the pleadings the contest grows out of certain controversies arising from practices in religious faith of the congregations named amongst other defendants in the case …</w:t>
      </w:r>
    </w:p>
    <w:p w:rsidR="002C2BA7" w:rsidRPr="00DF179B" w:rsidRDefault="002C2BA7" w:rsidP="002C2BA7">
      <w:pPr>
        <w:ind w:firstLine="0"/>
        <w:jc w:val="left"/>
        <w:rPr>
          <w:rFonts w:eastAsia="Times New Roman" w:cs="Times New Roman"/>
          <w:kern w:val="0"/>
          <w:szCs w:val="24"/>
        </w:rPr>
      </w:pPr>
    </w:p>
    <w:p w:rsidR="002C2BA7" w:rsidRDefault="002C2BA7" w:rsidP="002C2BA7">
      <w:pPr>
        <w:ind w:firstLine="0"/>
        <w:jc w:val="left"/>
        <w:rPr>
          <w:rStyle w:val="cohl"/>
          <w:rFonts w:cs="Times New Roman"/>
          <w:szCs w:val="24"/>
        </w:rPr>
      </w:pPr>
      <w:r w:rsidRPr="00DF179B">
        <w:rPr>
          <w:rStyle w:val="cohl"/>
          <w:rFonts w:cs="Times New Roman"/>
          <w:szCs w:val="24"/>
        </w:rPr>
        <w:t xml:space="preserve">We are asked to decide that a trust was imposed upon the church property; </w:t>
      </w:r>
      <w:r w:rsidRPr="00DF179B">
        <w:rPr>
          <w:rStyle w:val="cohl"/>
          <w:rFonts w:cs="Times New Roman"/>
          <w:szCs w:val="24"/>
          <w:u w:val="single"/>
        </w:rPr>
        <w:t>that the property should be used for the purposes of promoting the cause of traditional or orthodox Judaism</w:t>
      </w:r>
      <w:r w:rsidRPr="00DF179B">
        <w:rPr>
          <w:rStyle w:val="cohl"/>
          <w:rFonts w:cs="Times New Roman"/>
          <w:szCs w:val="24"/>
        </w:rPr>
        <w:t>. We are asked to define that language and to hold that the conduct of the defendants in control of the church property has been a defiance of this trust …</w:t>
      </w:r>
    </w:p>
    <w:p w:rsidR="00597FCF" w:rsidRPr="00DF179B" w:rsidRDefault="00597FCF" w:rsidP="002C2BA7">
      <w:pPr>
        <w:ind w:firstLine="0"/>
        <w:jc w:val="left"/>
        <w:rPr>
          <w:rStyle w:val="cohl"/>
          <w:rFonts w:cs="Times New Roman"/>
          <w:szCs w:val="24"/>
        </w:rPr>
      </w:pPr>
    </w:p>
    <w:p w:rsidR="002C2BA7" w:rsidRPr="00DF179B" w:rsidRDefault="002C2BA7" w:rsidP="002C2BA7">
      <w:pPr>
        <w:ind w:firstLine="0"/>
        <w:jc w:val="left"/>
        <w:rPr>
          <w:rFonts w:eastAsia="Times New Roman" w:cs="Times New Roman"/>
          <w:kern w:val="0"/>
          <w:szCs w:val="24"/>
        </w:rPr>
      </w:pPr>
      <w:r w:rsidRPr="00DF179B">
        <w:rPr>
          <w:rFonts w:eastAsia="Times New Roman" w:cs="Times New Roman"/>
          <w:kern w:val="0"/>
          <w:szCs w:val="24"/>
        </w:rPr>
        <w:t xml:space="preserve">if the prayer were granted the members of the congregation in question would be worshiping, not according to the dictates of their own consciences and the rules of the ecclesiastical authorities, but according to the dictates of a judicial tribunal, which, under all the authorities, has no right, </w:t>
      </w:r>
      <w:r w:rsidRPr="00DF179B">
        <w:rPr>
          <w:rFonts w:eastAsia="Times New Roman" w:cs="Times New Roman"/>
          <w:kern w:val="0"/>
          <w:szCs w:val="24"/>
        </w:rPr>
        <w:lastRenderedPageBreak/>
        <w:t>power, or jurisdiction in the presence of a final church tribunal to assume the monitorship of the religious faith of the members of the congregation or the citizens of a community. …</w:t>
      </w:r>
    </w:p>
    <w:p w:rsidR="002C2BA7" w:rsidRPr="00DF179B" w:rsidRDefault="002C2BA7" w:rsidP="002C2BA7">
      <w:pPr>
        <w:ind w:firstLine="0"/>
        <w:jc w:val="left"/>
        <w:rPr>
          <w:rFonts w:eastAsia="Times New Roman" w:cs="Times New Roman"/>
          <w:kern w:val="0"/>
          <w:szCs w:val="24"/>
        </w:rPr>
      </w:pPr>
    </w:p>
    <w:p w:rsidR="002C2BA7" w:rsidRPr="00DF179B" w:rsidRDefault="002C2BA7" w:rsidP="002C2BA7">
      <w:pPr>
        <w:ind w:firstLine="0"/>
        <w:jc w:val="left"/>
        <w:rPr>
          <w:rFonts w:eastAsia="Times New Roman" w:cs="Times New Roman"/>
          <w:kern w:val="0"/>
          <w:szCs w:val="24"/>
        </w:rPr>
      </w:pPr>
      <w:r w:rsidRPr="00DF179B">
        <w:rPr>
          <w:rFonts w:eastAsia="Times New Roman" w:cs="Times New Roman"/>
          <w:kern w:val="0"/>
          <w:szCs w:val="24"/>
          <w:u w:val="single"/>
        </w:rPr>
        <w:t>So far as the record discloses, the board of trustees had finality of judgment, and the conduct of the church and the promulgation of the faith was in accordance with the judgment, decrees, and decisions of that body, and this being so, the court is rendered powerless, in our judgment, to interfere in these matters purely religious and ecclesiastical</w:t>
      </w:r>
      <w:r w:rsidRPr="00DF179B">
        <w:rPr>
          <w:rFonts w:eastAsia="Times New Roman" w:cs="Times New Roman"/>
          <w:kern w:val="0"/>
          <w:szCs w:val="24"/>
        </w:rPr>
        <w:t>. …</w:t>
      </w:r>
    </w:p>
    <w:p w:rsidR="002C2BA7" w:rsidRPr="00DF179B" w:rsidRDefault="002C2BA7" w:rsidP="002C2BA7">
      <w:pPr>
        <w:ind w:firstLine="0"/>
        <w:jc w:val="left"/>
        <w:rPr>
          <w:rFonts w:eastAsia="Times New Roman" w:cs="Times New Roman"/>
          <w:kern w:val="0"/>
          <w:szCs w:val="24"/>
        </w:rPr>
      </w:pPr>
    </w:p>
    <w:p w:rsidR="002C2BA7" w:rsidRPr="00DF179B" w:rsidRDefault="002C2BA7" w:rsidP="002C2BA7">
      <w:pPr>
        <w:ind w:firstLine="0"/>
        <w:jc w:val="left"/>
        <w:rPr>
          <w:rFonts w:eastAsia="Times New Roman" w:cs="Times New Roman"/>
          <w:kern w:val="0"/>
          <w:szCs w:val="24"/>
        </w:rPr>
      </w:pPr>
      <w:r w:rsidRPr="00DF179B">
        <w:rPr>
          <w:rFonts w:eastAsia="Times New Roman" w:cs="Times New Roman"/>
          <w:kern w:val="0"/>
          <w:szCs w:val="24"/>
          <w:u w:val="single"/>
        </w:rPr>
        <w:t>To promote the cause of traditional or orthodox Judaism is not a definite religious doctrine based upon any principle so stationary in its character that a court would be warranted in defining the exact course to pursue or in granting the prayer of the petition in this respect</w:t>
      </w:r>
      <w:r w:rsidRPr="00DF179B">
        <w:rPr>
          <w:rFonts w:eastAsia="Times New Roman" w:cs="Times New Roman"/>
          <w:kern w:val="0"/>
          <w:szCs w:val="24"/>
        </w:rPr>
        <w:t xml:space="preserve">. </w:t>
      </w:r>
      <w:r w:rsidRPr="00597FCF">
        <w:rPr>
          <w:rFonts w:eastAsia="Times New Roman" w:cs="Times New Roman"/>
          <w:kern w:val="0"/>
          <w:szCs w:val="24"/>
          <w:u w:val="single"/>
        </w:rPr>
        <w:t>It is plain from the record that there is such a multitudinous variety of opinions in regard to orthodoxy and traditional doctrine that it would be impossible to grant any relief that would not be confusing and chaotic in its character</w:t>
      </w:r>
      <w:r w:rsidRPr="00DF179B">
        <w:rPr>
          <w:rFonts w:eastAsia="Times New Roman" w:cs="Times New Roman"/>
          <w:kern w:val="0"/>
          <w:szCs w:val="24"/>
        </w:rPr>
        <w:t xml:space="preserve"> …</w:t>
      </w:r>
    </w:p>
    <w:p w:rsidR="002C2BA7" w:rsidRPr="00DF179B" w:rsidRDefault="002C2BA7" w:rsidP="002C2BA7">
      <w:pPr>
        <w:ind w:firstLine="0"/>
        <w:jc w:val="left"/>
        <w:rPr>
          <w:rFonts w:eastAsia="Times New Roman" w:cs="Times New Roman"/>
          <w:kern w:val="0"/>
          <w:szCs w:val="24"/>
        </w:rPr>
      </w:pPr>
    </w:p>
    <w:p w:rsidR="002C2BA7" w:rsidRPr="00DF179B" w:rsidRDefault="002C2BA7" w:rsidP="002C2BA7">
      <w:pPr>
        <w:ind w:firstLine="0"/>
        <w:jc w:val="left"/>
        <w:rPr>
          <w:rFonts w:eastAsia="Times New Roman" w:cs="Times New Roman"/>
          <w:kern w:val="0"/>
          <w:szCs w:val="24"/>
        </w:rPr>
      </w:pPr>
      <w:r w:rsidRPr="00DF179B">
        <w:rPr>
          <w:rFonts w:eastAsia="Times New Roman" w:cs="Times New Roman"/>
          <w:kern w:val="0"/>
          <w:szCs w:val="24"/>
        </w:rPr>
        <w:t>Certainly this court could not define Jewish orthodoxy and traditional Judaism except from the testimony of experts, and it is an inevitable fact that such an inquiry would result in multiplying dissension, instead of eliminating it. We are content to follow the univ</w:t>
      </w:r>
      <w:r w:rsidR="0062574C" w:rsidRPr="00DF179B">
        <w:rPr>
          <w:rFonts w:eastAsia="Times New Roman" w:cs="Times New Roman"/>
          <w:kern w:val="0"/>
          <w:szCs w:val="24"/>
        </w:rPr>
        <w:t xml:space="preserve">ersal rule that, where the </w:t>
      </w:r>
      <w:r w:rsidRPr="00DF179B">
        <w:rPr>
          <w:rFonts w:eastAsia="Times New Roman" w:cs="Times New Roman"/>
          <w:kern w:val="0"/>
          <w:szCs w:val="24"/>
        </w:rPr>
        <w:t>remedy is within the church itself, a judicial tribunal cannot interfere in matters that form the prayer of this petition.</w:t>
      </w:r>
      <w:r w:rsidR="00597FCF">
        <w:rPr>
          <w:rFonts w:eastAsia="Times New Roman" w:cs="Times New Roman"/>
          <w:kern w:val="0"/>
          <w:szCs w:val="24"/>
        </w:rPr>
        <w:t>”</w:t>
      </w:r>
      <w:r w:rsidRPr="00DF179B">
        <w:rPr>
          <w:rFonts w:eastAsia="Times New Roman" w:cs="Times New Roman"/>
          <w:kern w:val="0"/>
          <w:szCs w:val="24"/>
        </w:rPr>
        <w:br/>
      </w:r>
    </w:p>
    <w:p w:rsidR="004F791E" w:rsidRDefault="006552F1" w:rsidP="0030638F">
      <w:pPr>
        <w:ind w:firstLine="0"/>
        <w:rPr>
          <w:rFonts w:cs="Times New Roman"/>
        </w:rPr>
      </w:pPr>
      <w:r>
        <w:rPr>
          <w:rFonts w:cs="Times New Roman"/>
          <w:b/>
        </w:rPr>
        <w:t>5</w:t>
      </w:r>
      <w:r w:rsidR="00597FCF" w:rsidRPr="00597FCF">
        <w:rPr>
          <w:rFonts w:cs="Times New Roman"/>
          <w:b/>
        </w:rPr>
        <w:t>)</w:t>
      </w:r>
      <w:r w:rsidR="00597FCF">
        <w:rPr>
          <w:rFonts w:cs="Times New Roman"/>
        </w:rPr>
        <w:t xml:space="preserve"> </w:t>
      </w:r>
      <w:r w:rsidR="00597FCF" w:rsidRPr="00597FCF">
        <w:rPr>
          <w:rFonts w:eastAsia="Times New Roman" w:cs="Times New Roman"/>
          <w:i/>
          <w:kern w:val="0"/>
          <w:szCs w:val="24"/>
        </w:rPr>
        <w:t>Davis v. Scher</w:t>
      </w:r>
      <w:r w:rsidR="00597FCF" w:rsidRPr="00DF179B">
        <w:rPr>
          <w:rFonts w:eastAsia="Times New Roman" w:cs="Times New Roman"/>
          <w:kern w:val="0"/>
          <w:szCs w:val="24"/>
        </w:rPr>
        <w:t>, 97 N.W.2d 137 (</w:t>
      </w:r>
      <w:r w:rsidR="00597FCF">
        <w:rPr>
          <w:rFonts w:eastAsia="Times New Roman" w:cs="Times New Roman"/>
          <w:kern w:val="0"/>
          <w:szCs w:val="24"/>
        </w:rPr>
        <w:t xml:space="preserve">Mich. </w:t>
      </w:r>
      <w:r w:rsidR="00597FCF" w:rsidRPr="00DF179B">
        <w:rPr>
          <w:rFonts w:eastAsia="Times New Roman" w:cs="Times New Roman"/>
          <w:kern w:val="0"/>
          <w:szCs w:val="24"/>
        </w:rPr>
        <w:t>1959)</w:t>
      </w:r>
    </w:p>
    <w:p w:rsidR="00597FCF" w:rsidRDefault="00597FCF" w:rsidP="0030638F">
      <w:pPr>
        <w:ind w:firstLine="0"/>
        <w:rPr>
          <w:rFonts w:cs="Times New Roman"/>
        </w:rPr>
      </w:pPr>
    </w:p>
    <w:p w:rsidR="004F791E" w:rsidRPr="00DF179B" w:rsidRDefault="00597FCF" w:rsidP="004F791E">
      <w:pPr>
        <w:ind w:firstLine="0"/>
        <w:jc w:val="left"/>
        <w:rPr>
          <w:rFonts w:eastAsia="Times New Roman" w:cs="Times New Roman"/>
          <w:kern w:val="0"/>
          <w:szCs w:val="24"/>
        </w:rPr>
      </w:pPr>
      <w:r>
        <w:rPr>
          <w:rFonts w:cs="Times New Roman"/>
        </w:rPr>
        <w:t>“</w:t>
      </w:r>
      <w:r>
        <w:rPr>
          <w:rFonts w:eastAsia="Times New Roman" w:cs="Times New Roman"/>
          <w:kern w:val="0"/>
          <w:szCs w:val="24"/>
        </w:rPr>
        <w:t>At the close of plaintiffs’</w:t>
      </w:r>
      <w:r w:rsidR="004F791E" w:rsidRPr="00DF179B">
        <w:rPr>
          <w:rFonts w:eastAsia="Times New Roman" w:cs="Times New Roman"/>
          <w:kern w:val="0"/>
          <w:szCs w:val="24"/>
        </w:rPr>
        <w:t xml:space="preserve"> proofs defendants were asked if they cared to present any proofs. They again informed the court that they did not wish to do so but would rely on their motion to dismiss. The court granted the motion on the theory this controversy was strictly a religious question and the matter of a property right was not involved. …</w:t>
      </w:r>
    </w:p>
    <w:p w:rsidR="004F791E" w:rsidRDefault="004F791E" w:rsidP="004F791E">
      <w:pPr>
        <w:ind w:firstLine="0"/>
        <w:jc w:val="left"/>
        <w:rPr>
          <w:rFonts w:eastAsia="Times New Roman" w:cs="Times New Roman"/>
          <w:kern w:val="0"/>
          <w:szCs w:val="24"/>
        </w:rPr>
      </w:pPr>
    </w:p>
    <w:p w:rsidR="00597FCF" w:rsidRDefault="00597FCF" w:rsidP="004F791E">
      <w:pPr>
        <w:ind w:firstLine="0"/>
        <w:jc w:val="left"/>
        <w:rPr>
          <w:rFonts w:eastAsia="Times New Roman" w:cs="Times New Roman"/>
          <w:kern w:val="0"/>
          <w:szCs w:val="24"/>
        </w:rPr>
      </w:pPr>
      <w:r>
        <w:t>The drafters of our constitution . . . have provided that the State cannot in any way interfere with the practice of religion. Under the constitution and bill of rights, however, it is made equally clear that it is the courts’ duty to preserve freedom of religion and its practice and to preserve the rights of minority groups. …</w:t>
      </w:r>
    </w:p>
    <w:p w:rsidR="00597FCF" w:rsidRPr="00DF179B" w:rsidRDefault="00597FCF" w:rsidP="004F791E">
      <w:pPr>
        <w:ind w:firstLine="0"/>
        <w:jc w:val="left"/>
        <w:rPr>
          <w:rFonts w:eastAsia="Times New Roman" w:cs="Times New Roman"/>
          <w:kern w:val="0"/>
          <w:szCs w:val="24"/>
        </w:rPr>
      </w:pPr>
    </w:p>
    <w:p w:rsidR="004F791E" w:rsidRPr="00DF179B" w:rsidRDefault="004F791E" w:rsidP="004F791E">
      <w:pPr>
        <w:ind w:firstLine="0"/>
        <w:jc w:val="left"/>
        <w:rPr>
          <w:rFonts w:eastAsia="Times New Roman" w:cs="Times New Roman"/>
          <w:kern w:val="0"/>
          <w:szCs w:val="24"/>
        </w:rPr>
      </w:pPr>
      <w:r w:rsidRPr="00DF179B">
        <w:rPr>
          <w:rFonts w:eastAsia="Times New Roman" w:cs="Times New Roman"/>
          <w:kern w:val="0"/>
          <w:szCs w:val="24"/>
        </w:rPr>
        <w:t>The defendants herein had an opportunity to present testimony to dispute plaintiffs' testimony. This they refused to do. Therefore, we are faced under the proofs with these unchallenged facts: (1) that this congregation was an Orthodox Jewish Congregation; (2) that under the Orthodox Jewish Law Orthodox Jews cannot participate in services where there is mixed seating; (3) that if mixed seating was enjoyed in this congregation Orthodox Jews would be prohibited from participating in services there. Clearly plaintiffs would be deprived of their right to the use of their synagogue-in other words deprived of the right of the use of their property and the use of the property by the majority group contrary to law.</w:t>
      </w:r>
      <w:r w:rsidR="00597FCF">
        <w:rPr>
          <w:rFonts w:eastAsia="Times New Roman" w:cs="Times New Roman"/>
          <w:kern w:val="0"/>
          <w:szCs w:val="24"/>
        </w:rPr>
        <w:t>”</w:t>
      </w:r>
      <w:r w:rsidRPr="00DF179B">
        <w:rPr>
          <w:rFonts w:eastAsia="Times New Roman" w:cs="Times New Roman"/>
          <w:kern w:val="0"/>
          <w:szCs w:val="24"/>
        </w:rPr>
        <w:br/>
      </w:r>
    </w:p>
    <w:p w:rsidR="00597FCF" w:rsidRPr="00DF179B" w:rsidRDefault="006552F1" w:rsidP="00597FCF">
      <w:pPr>
        <w:ind w:firstLine="0"/>
        <w:jc w:val="left"/>
        <w:rPr>
          <w:rFonts w:eastAsia="Times New Roman" w:cs="Times New Roman"/>
          <w:kern w:val="0"/>
          <w:szCs w:val="24"/>
        </w:rPr>
      </w:pPr>
      <w:r>
        <w:rPr>
          <w:rFonts w:eastAsia="Times New Roman" w:cs="Times New Roman"/>
          <w:b/>
          <w:kern w:val="0"/>
          <w:szCs w:val="24"/>
        </w:rPr>
        <w:t>6</w:t>
      </w:r>
      <w:r w:rsidR="00597FCF" w:rsidRPr="00597FCF">
        <w:rPr>
          <w:rFonts w:eastAsia="Times New Roman" w:cs="Times New Roman"/>
          <w:b/>
          <w:kern w:val="0"/>
          <w:szCs w:val="24"/>
        </w:rPr>
        <w:t>)</w:t>
      </w:r>
      <w:r w:rsidR="00597FCF">
        <w:rPr>
          <w:rFonts w:eastAsia="Times New Roman" w:cs="Times New Roman"/>
          <w:kern w:val="0"/>
          <w:szCs w:val="24"/>
        </w:rPr>
        <w:t xml:space="preserve"> </w:t>
      </w:r>
      <w:r w:rsidR="00597FCF" w:rsidRPr="00597FCF">
        <w:rPr>
          <w:rFonts w:eastAsia="Times New Roman" w:cs="Times New Roman"/>
          <w:i/>
          <w:kern w:val="0"/>
          <w:szCs w:val="24"/>
        </w:rPr>
        <w:t>Katz v. Singerman</w:t>
      </w:r>
      <w:r w:rsidR="00597FCF" w:rsidRPr="00DF179B">
        <w:rPr>
          <w:rFonts w:eastAsia="Times New Roman" w:cs="Times New Roman"/>
          <w:kern w:val="0"/>
          <w:szCs w:val="24"/>
        </w:rPr>
        <w:t>, 127 So. 2d 515 (</w:t>
      </w:r>
      <w:r w:rsidR="00597FCF">
        <w:rPr>
          <w:rFonts w:eastAsia="Times New Roman" w:cs="Times New Roman"/>
          <w:kern w:val="0"/>
          <w:szCs w:val="24"/>
        </w:rPr>
        <w:t xml:space="preserve">La. </w:t>
      </w:r>
      <w:r w:rsidR="00597FCF" w:rsidRPr="00DF179B">
        <w:rPr>
          <w:rFonts w:eastAsia="Times New Roman" w:cs="Times New Roman"/>
          <w:kern w:val="0"/>
          <w:szCs w:val="24"/>
        </w:rPr>
        <w:t>1961)</w:t>
      </w:r>
    </w:p>
    <w:p w:rsidR="004F791E" w:rsidRPr="00DF179B" w:rsidRDefault="004F791E" w:rsidP="004F791E">
      <w:pPr>
        <w:ind w:firstLine="0"/>
        <w:jc w:val="left"/>
        <w:rPr>
          <w:rFonts w:eastAsia="Times New Roman" w:cs="Times New Roman"/>
          <w:kern w:val="0"/>
          <w:szCs w:val="24"/>
        </w:rPr>
      </w:pPr>
    </w:p>
    <w:p w:rsidR="00F261F5" w:rsidRPr="00DF179B" w:rsidRDefault="00597FCF" w:rsidP="00F261F5">
      <w:pPr>
        <w:ind w:firstLine="0"/>
        <w:jc w:val="left"/>
        <w:rPr>
          <w:rFonts w:eastAsia="Times New Roman" w:cs="Times New Roman"/>
          <w:kern w:val="0"/>
          <w:szCs w:val="24"/>
        </w:rPr>
      </w:pPr>
      <w:r>
        <w:rPr>
          <w:rFonts w:eastAsia="Times New Roman" w:cs="Times New Roman"/>
          <w:kern w:val="0"/>
          <w:szCs w:val="24"/>
        </w:rPr>
        <w:t>“</w:t>
      </w:r>
      <w:r w:rsidR="00F261F5" w:rsidRPr="00DF179B">
        <w:rPr>
          <w:rFonts w:eastAsia="Times New Roman" w:cs="Times New Roman"/>
          <w:kern w:val="0"/>
          <w:szCs w:val="24"/>
        </w:rPr>
        <w:t>Article III of said charter states the objects and purposes to be:</w:t>
      </w:r>
    </w:p>
    <w:p w:rsidR="00F261F5" w:rsidRPr="00DF179B" w:rsidRDefault="00F261F5" w:rsidP="00F261F5">
      <w:pPr>
        <w:ind w:firstLine="0"/>
        <w:jc w:val="left"/>
        <w:rPr>
          <w:rFonts w:eastAsia="Times New Roman" w:cs="Times New Roman"/>
          <w:kern w:val="0"/>
          <w:szCs w:val="24"/>
        </w:rPr>
      </w:pPr>
      <w:r w:rsidRPr="00DF179B">
        <w:rPr>
          <w:rFonts w:eastAsia="Times New Roman" w:cs="Times New Roman"/>
          <w:kern w:val="0"/>
          <w:szCs w:val="24"/>
        </w:rPr>
        <w:lastRenderedPageBreak/>
        <w:t xml:space="preserve">“The objects and purposes of this corporation are declared to be the worship of God according to the </w:t>
      </w:r>
      <w:r w:rsidRPr="00DF179B">
        <w:rPr>
          <w:rFonts w:eastAsia="Times New Roman" w:cs="Times New Roman"/>
          <w:kern w:val="0"/>
          <w:szCs w:val="24"/>
          <w:u w:val="single"/>
        </w:rPr>
        <w:t>orthodox Polish Jewish Ritual</w:t>
      </w:r>
      <w:r w:rsidRPr="00DF179B">
        <w:rPr>
          <w:rFonts w:eastAsia="Times New Roman" w:cs="Times New Roman"/>
          <w:kern w:val="0"/>
          <w:szCs w:val="24"/>
        </w:rPr>
        <w:t>, the establishment of a cemetery for the burial of its members and their family and such other persons as may be designated in the by-la</w:t>
      </w:r>
      <w:r w:rsidR="00597FCF">
        <w:rPr>
          <w:rFonts w:eastAsia="Times New Roman" w:cs="Times New Roman"/>
          <w:kern w:val="0"/>
          <w:szCs w:val="24"/>
        </w:rPr>
        <w:t>ws and the practice of charity.</w:t>
      </w:r>
      <w:r w:rsidRPr="00DF179B">
        <w:rPr>
          <w:rFonts w:eastAsia="Times New Roman" w:cs="Times New Roman"/>
          <w:kern w:val="0"/>
          <w:szCs w:val="24"/>
        </w:rPr>
        <w:t xml:space="preserve"> . . .</w:t>
      </w:r>
    </w:p>
    <w:p w:rsidR="00F261F5" w:rsidRPr="00DF179B" w:rsidRDefault="00F261F5" w:rsidP="00F261F5">
      <w:pPr>
        <w:ind w:firstLine="0"/>
        <w:jc w:val="left"/>
        <w:rPr>
          <w:rFonts w:eastAsia="Times New Roman" w:cs="Times New Roman"/>
          <w:kern w:val="0"/>
          <w:szCs w:val="24"/>
        </w:rPr>
      </w:pPr>
    </w:p>
    <w:p w:rsidR="00F261F5" w:rsidRPr="00DF179B" w:rsidRDefault="00056720" w:rsidP="00F261F5">
      <w:pPr>
        <w:ind w:firstLine="0"/>
        <w:jc w:val="left"/>
        <w:rPr>
          <w:rFonts w:eastAsia="Times New Roman" w:cs="Times New Roman"/>
          <w:kern w:val="0"/>
          <w:szCs w:val="24"/>
        </w:rPr>
      </w:pPr>
      <w:r w:rsidRPr="00DF179B">
        <w:rPr>
          <w:rFonts w:eastAsia="Times New Roman" w:cs="Times New Roman"/>
          <w:kern w:val="0"/>
          <w:szCs w:val="24"/>
        </w:rPr>
        <w:t>It is true that the evidence is substantial to the effect that family or mixed seating is contrary to and inconsistent with the ‘orthodox Polish Jewish Ritual’ and with ‘Jewish worship according to the strict ancient an</w:t>
      </w:r>
      <w:r w:rsidR="00597FCF">
        <w:rPr>
          <w:rFonts w:eastAsia="Times New Roman" w:cs="Times New Roman"/>
          <w:kern w:val="0"/>
          <w:szCs w:val="24"/>
        </w:rPr>
        <w:t>d orthodox forms and ceremonies’</w:t>
      </w:r>
      <w:r w:rsidRPr="00DF179B">
        <w:rPr>
          <w:rFonts w:eastAsia="Times New Roman" w:cs="Times New Roman"/>
          <w:kern w:val="0"/>
          <w:szCs w:val="24"/>
        </w:rPr>
        <w:t>. It is also true that the evidence is substantial to the effect that family or mixed seating is not contrary to the ‘Orthodox Polish Jewish Ritual’ and with ‘Jewish worship according to the strict ancient an</w:t>
      </w:r>
      <w:r w:rsidR="00597FCF">
        <w:rPr>
          <w:rFonts w:eastAsia="Times New Roman" w:cs="Times New Roman"/>
          <w:kern w:val="0"/>
          <w:szCs w:val="24"/>
        </w:rPr>
        <w:t>d orthodox forms and ceremonies’</w:t>
      </w:r>
      <w:r w:rsidRPr="00DF179B">
        <w:rPr>
          <w:rFonts w:eastAsia="Times New Roman" w:cs="Times New Roman"/>
          <w:kern w:val="0"/>
          <w:szCs w:val="24"/>
        </w:rPr>
        <w:t>. …</w:t>
      </w:r>
    </w:p>
    <w:p w:rsidR="00056720" w:rsidRPr="00DF179B" w:rsidRDefault="00056720" w:rsidP="00F261F5">
      <w:pPr>
        <w:ind w:firstLine="0"/>
        <w:jc w:val="left"/>
        <w:rPr>
          <w:rFonts w:eastAsia="Times New Roman" w:cs="Times New Roman"/>
          <w:kern w:val="0"/>
          <w:szCs w:val="24"/>
        </w:rPr>
      </w:pPr>
    </w:p>
    <w:p w:rsidR="00056720" w:rsidRPr="00DF179B" w:rsidRDefault="00056720" w:rsidP="00F261F5">
      <w:pPr>
        <w:ind w:firstLine="0"/>
        <w:jc w:val="left"/>
        <w:rPr>
          <w:rFonts w:eastAsia="Times New Roman" w:cs="Times New Roman"/>
          <w:kern w:val="0"/>
          <w:szCs w:val="24"/>
        </w:rPr>
      </w:pPr>
      <w:r w:rsidRPr="00DF179B">
        <w:rPr>
          <w:rFonts w:eastAsia="Times New Roman" w:cs="Times New Roman"/>
          <w:kern w:val="0"/>
          <w:szCs w:val="24"/>
        </w:rPr>
        <w:t xml:space="preserve">If there is one impression which is certain to be had from the evidence, it is that there is severe dispute among Orthodox Jews on the question of family or mixed seating. This case differs from the case of </w:t>
      </w:r>
      <w:r w:rsidRPr="00597FCF">
        <w:rPr>
          <w:rFonts w:eastAsia="Times New Roman" w:cs="Times New Roman"/>
          <w:i/>
          <w:kern w:val="0"/>
          <w:szCs w:val="24"/>
        </w:rPr>
        <w:t>Davis v. Scher</w:t>
      </w:r>
      <w:r w:rsidRPr="00DF179B">
        <w:rPr>
          <w:rFonts w:eastAsia="Times New Roman" w:cs="Times New Roman"/>
          <w:kern w:val="0"/>
          <w:szCs w:val="24"/>
        </w:rPr>
        <w:t>, 356 Mich. 291, 97 N.W.2d 137, 144, relied upon by the Court of Appeal, for there the evidence was all on one side. …</w:t>
      </w:r>
    </w:p>
    <w:p w:rsidR="00056720" w:rsidRPr="00DF179B" w:rsidRDefault="00056720" w:rsidP="00F261F5">
      <w:pPr>
        <w:ind w:firstLine="0"/>
        <w:jc w:val="left"/>
        <w:rPr>
          <w:rFonts w:eastAsia="Times New Roman" w:cs="Times New Roman"/>
          <w:kern w:val="0"/>
          <w:szCs w:val="24"/>
        </w:rPr>
      </w:pPr>
    </w:p>
    <w:p w:rsidR="00056720" w:rsidRPr="00DF179B" w:rsidRDefault="00056720" w:rsidP="00F261F5">
      <w:pPr>
        <w:ind w:firstLine="0"/>
        <w:jc w:val="left"/>
        <w:rPr>
          <w:rFonts w:eastAsia="Times New Roman" w:cs="Times New Roman"/>
          <w:kern w:val="0"/>
          <w:szCs w:val="24"/>
        </w:rPr>
      </w:pPr>
      <w:r w:rsidRPr="00DF179B">
        <w:rPr>
          <w:rFonts w:eastAsia="Times New Roman" w:cs="Times New Roman"/>
          <w:kern w:val="0"/>
          <w:szCs w:val="24"/>
        </w:rPr>
        <w:t>It seems quite clear that there are many Orthodox positions, and that always to the more stringent interpretation the less stringent is not Orthodox. It is reasonable to presume that when Benjamin Rosenberg made the donation in question he was aware of the fact that the ancient Jewish religion had in the past undergone certain changes, modifications or evolutions in its ritual, forms, and ceremonies. It follows that he must have contemplated that such changes would inevitably occur in the future. …</w:t>
      </w:r>
    </w:p>
    <w:p w:rsidR="00056720" w:rsidRPr="00DF179B" w:rsidRDefault="00056720" w:rsidP="00F261F5">
      <w:pPr>
        <w:ind w:firstLine="0"/>
        <w:jc w:val="left"/>
        <w:rPr>
          <w:rFonts w:eastAsia="Times New Roman" w:cs="Times New Roman"/>
          <w:kern w:val="0"/>
          <w:szCs w:val="24"/>
        </w:rPr>
      </w:pPr>
    </w:p>
    <w:p w:rsidR="00056720" w:rsidRPr="00DF179B" w:rsidRDefault="00056720" w:rsidP="00F261F5">
      <w:pPr>
        <w:ind w:firstLine="0"/>
        <w:jc w:val="left"/>
        <w:rPr>
          <w:rFonts w:eastAsia="Times New Roman" w:cs="Times New Roman"/>
          <w:kern w:val="0"/>
          <w:szCs w:val="24"/>
        </w:rPr>
      </w:pPr>
      <w:r w:rsidRPr="00DF179B">
        <w:rPr>
          <w:rFonts w:eastAsia="Times New Roman" w:cs="Times New Roman"/>
          <w:kern w:val="0"/>
          <w:szCs w:val="24"/>
        </w:rPr>
        <w:t>Had he separate seating in mind as a fundamental tenet, ritual or ceremony of the doctrine he sought to perpetuate, he did not specify, as he should have done, his intention in sufficiently clear, definite, and express terms. Lacking the clarity and definiteness which would make his terms and conditions susceptible of ready determination, we are not prepared to find that a violation has occurred here which could have the effect of imposing the will of the minority upon the majority. …</w:t>
      </w:r>
    </w:p>
    <w:p w:rsidR="00056720" w:rsidRPr="00DF179B" w:rsidRDefault="00056720" w:rsidP="00F261F5">
      <w:pPr>
        <w:ind w:firstLine="0"/>
        <w:jc w:val="left"/>
        <w:rPr>
          <w:rFonts w:eastAsia="Times New Roman" w:cs="Times New Roman"/>
          <w:kern w:val="0"/>
          <w:szCs w:val="24"/>
        </w:rPr>
      </w:pPr>
    </w:p>
    <w:p w:rsidR="00056720" w:rsidRPr="00DF179B" w:rsidRDefault="00056720" w:rsidP="00056720">
      <w:pPr>
        <w:ind w:firstLine="0"/>
        <w:jc w:val="left"/>
        <w:rPr>
          <w:rFonts w:eastAsia="Times New Roman" w:cs="Times New Roman"/>
          <w:kern w:val="0"/>
          <w:szCs w:val="24"/>
        </w:rPr>
      </w:pPr>
      <w:r w:rsidRPr="00DF179B">
        <w:rPr>
          <w:rFonts w:eastAsia="Times New Roman" w:cs="Times New Roman"/>
          <w:kern w:val="0"/>
          <w:szCs w:val="24"/>
        </w:rPr>
        <w:t>Congregation Chevra Thilim and the defendants here continue to profess to worship God according to the Orthodox forms and ceremonies and the record reveals that many of the recognized fundamentals, forms and rituals thereof are observed. It has on Orthodox Rabbi. We are impressed by the statement of the Rabbi of this Congregation and consider that his views are entitled to great weight. They are to the effect that, though the members of said congregation have adopted family seating, he considers them to be following the spirit, traditions and procedure of Orthodox Judaism.</w:t>
      </w:r>
    </w:p>
    <w:p w:rsidR="00056720" w:rsidRPr="00DF179B" w:rsidRDefault="00056720" w:rsidP="00056720">
      <w:pPr>
        <w:ind w:firstLine="0"/>
        <w:jc w:val="left"/>
        <w:rPr>
          <w:rFonts w:eastAsia="Times New Roman" w:cs="Times New Roman"/>
          <w:kern w:val="0"/>
          <w:szCs w:val="24"/>
        </w:rPr>
      </w:pPr>
      <w:r w:rsidRPr="00DF179B">
        <w:rPr>
          <w:rFonts w:eastAsia="Times New Roman" w:cs="Times New Roman"/>
          <w:kern w:val="0"/>
          <w:szCs w:val="24"/>
        </w:rPr>
        <w:t>We find that the adoption of the resolution concerning family or mixed seating by the Board of Directors was within the authority provided by the Charter and By-Laws and did not violate the conditions in the donations in question, and is not such action by the Board that would permit this Court to properly interfere. …</w:t>
      </w:r>
    </w:p>
    <w:p w:rsidR="00056720" w:rsidRPr="00DF179B" w:rsidRDefault="00056720" w:rsidP="00056720">
      <w:pPr>
        <w:ind w:firstLine="0"/>
        <w:jc w:val="left"/>
        <w:rPr>
          <w:rFonts w:eastAsia="Times New Roman" w:cs="Times New Roman"/>
          <w:kern w:val="0"/>
          <w:szCs w:val="24"/>
        </w:rPr>
      </w:pPr>
    </w:p>
    <w:p w:rsidR="00056720" w:rsidRPr="00DF179B" w:rsidRDefault="00056720" w:rsidP="00056720">
      <w:pPr>
        <w:ind w:firstLine="0"/>
        <w:jc w:val="left"/>
        <w:rPr>
          <w:rFonts w:eastAsia="Times New Roman" w:cs="Times New Roman"/>
          <w:kern w:val="0"/>
          <w:szCs w:val="24"/>
        </w:rPr>
      </w:pPr>
      <w:r w:rsidRPr="00DF179B">
        <w:rPr>
          <w:rFonts w:eastAsia="Times New Roman" w:cs="Times New Roman"/>
          <w:kern w:val="0"/>
          <w:szCs w:val="24"/>
        </w:rPr>
        <w:t>HAMITER, Justice (concurring).</w:t>
      </w:r>
    </w:p>
    <w:p w:rsidR="00582121" w:rsidRDefault="00056720" w:rsidP="001A6EFA">
      <w:pPr>
        <w:ind w:firstLine="0"/>
        <w:jc w:val="left"/>
        <w:rPr>
          <w:rFonts w:eastAsia="Times New Roman" w:cs="Times New Roman"/>
          <w:kern w:val="0"/>
          <w:szCs w:val="24"/>
        </w:rPr>
      </w:pPr>
      <w:r w:rsidRPr="00DF179B">
        <w:rPr>
          <w:rFonts w:eastAsia="Times New Roman" w:cs="Times New Roman"/>
          <w:kern w:val="0"/>
          <w:szCs w:val="24"/>
        </w:rPr>
        <w:t xml:space="preserve">In my opinion the plea to the jurisdiction </w:t>
      </w:r>
      <w:r w:rsidRPr="001A6EFA">
        <w:rPr>
          <w:rFonts w:eastAsia="Times New Roman" w:cs="Times New Roman"/>
          <w:i/>
          <w:kern w:val="0"/>
          <w:szCs w:val="24"/>
        </w:rPr>
        <w:t>ratione materiae</w:t>
      </w:r>
      <w:r w:rsidRPr="00DF179B">
        <w:rPr>
          <w:rFonts w:eastAsia="Times New Roman" w:cs="Times New Roman"/>
          <w:kern w:val="0"/>
          <w:szCs w:val="24"/>
        </w:rPr>
        <w:t xml:space="preserve"> filed in this cause by the defendants is meritorious. An infringement of property, civil or political rights is not in dispute herein. Rather, </w:t>
      </w:r>
      <w:r w:rsidRPr="00DF179B">
        <w:rPr>
          <w:rFonts w:eastAsia="Times New Roman" w:cs="Times New Roman"/>
          <w:kern w:val="0"/>
          <w:szCs w:val="24"/>
        </w:rPr>
        <w:lastRenderedPageBreak/>
        <w:t>at issue is merely the defendants' alleged violation of certain precepts important to Jewish worship. The question presented, in other words, relates solely to religious rights. Hence, the controversy is not subject to judicial determination.</w:t>
      </w:r>
      <w:r w:rsidR="00597FCF">
        <w:rPr>
          <w:rFonts w:eastAsia="Times New Roman" w:cs="Times New Roman"/>
          <w:kern w:val="0"/>
          <w:szCs w:val="24"/>
        </w:rPr>
        <w:t>”</w:t>
      </w:r>
      <w:r w:rsidR="00F261F5" w:rsidRPr="00DF179B">
        <w:rPr>
          <w:rFonts w:eastAsia="Times New Roman" w:cs="Times New Roman"/>
          <w:kern w:val="0"/>
          <w:szCs w:val="24"/>
        </w:rPr>
        <w:br/>
      </w:r>
    </w:p>
    <w:p w:rsidR="00A45CE9" w:rsidRDefault="006552F1" w:rsidP="001A6EFA">
      <w:pPr>
        <w:ind w:right="720" w:firstLine="0"/>
      </w:pPr>
      <w:r>
        <w:rPr>
          <w:rFonts w:eastAsia="Times New Roman" w:cs="Times New Roman"/>
          <w:b/>
          <w:kern w:val="0"/>
          <w:szCs w:val="24"/>
        </w:rPr>
        <w:t>7</w:t>
      </w:r>
      <w:r w:rsidR="001A6EFA" w:rsidRPr="00A45CE9">
        <w:rPr>
          <w:rFonts w:eastAsia="Times New Roman" w:cs="Times New Roman"/>
          <w:b/>
          <w:kern w:val="0"/>
          <w:szCs w:val="24"/>
        </w:rPr>
        <w:t>)</w:t>
      </w:r>
      <w:r w:rsidR="001A6EFA">
        <w:rPr>
          <w:rFonts w:eastAsia="Times New Roman" w:cs="Times New Roman"/>
          <w:kern w:val="0"/>
          <w:szCs w:val="24"/>
        </w:rPr>
        <w:t xml:space="preserve"> </w:t>
      </w:r>
      <w:r w:rsidR="00A45CE9">
        <w:t>McKinney’</w:t>
      </w:r>
      <w:r w:rsidR="001A6EFA">
        <w:t>s Agricul</w:t>
      </w:r>
      <w:r w:rsidR="00A45CE9">
        <w:t>ture and Markets Law § 201-a.</w:t>
      </w:r>
    </w:p>
    <w:p w:rsidR="001A6EFA" w:rsidRDefault="001A6EFA" w:rsidP="001A6EFA">
      <w:pPr>
        <w:ind w:right="720" w:firstLine="0"/>
      </w:pPr>
      <w:r>
        <w:t>Sale of kosher meat and meat preparations, kosher articles of food and food products</w:t>
      </w:r>
    </w:p>
    <w:p w:rsidR="001A6EFA" w:rsidRDefault="001A6EFA" w:rsidP="001A6EFA">
      <w:pPr>
        <w:ind w:left="720" w:right="720"/>
      </w:pPr>
    </w:p>
    <w:p w:rsidR="001A6EFA" w:rsidRDefault="001A6EFA" w:rsidP="001A6EFA">
      <w:pPr>
        <w:ind w:firstLine="0"/>
        <w:jc w:val="left"/>
        <w:rPr>
          <w:rFonts w:eastAsia="Times New Roman" w:cs="Times New Roman"/>
          <w:kern w:val="0"/>
          <w:szCs w:val="24"/>
        </w:rPr>
      </w:pPr>
      <w:r>
        <w:t>“A person who . . . sells . . . any . . . article of food . . . and falsely represents the same to be kosher . . . or as having been prepared under, and of a product or products sanctioned by, the orthodox Hebrew religious requirements, either by direct statement orally, or in writing, which might reasonably be calculated to deceive or lead a reasonable man to believe that a</w:t>
      </w:r>
      <w:r w:rsidR="00A45CE9">
        <w:t xml:space="preserve"> </w:t>
      </w:r>
      <w:r>
        <w:t>representation is being made that such food is kosher or prepared in accordance with the orthodox Hebrew religious requirements, . . . is guilty of a class A misdemeanor. . . .”</w:t>
      </w:r>
    </w:p>
    <w:p w:rsidR="001A6EFA" w:rsidRDefault="001A6EFA" w:rsidP="001A6EFA">
      <w:pPr>
        <w:ind w:firstLine="0"/>
        <w:jc w:val="left"/>
        <w:rPr>
          <w:rFonts w:eastAsia="Times New Roman" w:cs="Times New Roman"/>
          <w:kern w:val="0"/>
          <w:szCs w:val="24"/>
        </w:rPr>
      </w:pPr>
    </w:p>
    <w:p w:rsidR="00A45CE9" w:rsidRDefault="006552F1" w:rsidP="00A45CE9">
      <w:pPr>
        <w:ind w:right="720" w:firstLine="0"/>
      </w:pPr>
      <w:r>
        <w:rPr>
          <w:rFonts w:eastAsia="Times New Roman" w:cs="Times New Roman"/>
          <w:b/>
          <w:kern w:val="0"/>
          <w:szCs w:val="24"/>
        </w:rPr>
        <w:t>8</w:t>
      </w:r>
      <w:r w:rsidR="00A45CE9" w:rsidRPr="00A45CE9">
        <w:rPr>
          <w:rFonts w:eastAsia="Times New Roman" w:cs="Times New Roman"/>
          <w:b/>
          <w:kern w:val="0"/>
          <w:szCs w:val="24"/>
        </w:rPr>
        <w:t>)</w:t>
      </w:r>
      <w:r w:rsidR="00A45CE9">
        <w:rPr>
          <w:rFonts w:eastAsia="Times New Roman" w:cs="Times New Roman"/>
          <w:kern w:val="0"/>
          <w:szCs w:val="24"/>
        </w:rPr>
        <w:t xml:space="preserve"> </w:t>
      </w:r>
      <w:r w:rsidR="00A45CE9">
        <w:t>McKinney’s Agriculture and Markets Law § 201-f. - Kosher meat or poultry</w:t>
      </w:r>
    </w:p>
    <w:p w:rsidR="00A45CE9" w:rsidRDefault="00A45CE9" w:rsidP="00A45CE9">
      <w:pPr>
        <w:ind w:left="720" w:right="720"/>
      </w:pPr>
    </w:p>
    <w:p w:rsidR="00A45CE9" w:rsidRDefault="00A45CE9" w:rsidP="00A45CE9">
      <w:pPr>
        <w:ind w:right="720" w:firstLine="0"/>
      </w:pPr>
      <w:r>
        <w:t>“1. All meat or poultry which is sold, offered or exposed for sale and is represented as having been prepared in accordance with orthodox Hebrew religious requirements and which has not been soaked and salted immediately after slaughter on the premises where slaughtered:</w:t>
      </w:r>
      <w:r w:rsidR="00452465">
        <w:t xml:space="preserve"> . . .</w:t>
      </w:r>
    </w:p>
    <w:p w:rsidR="00A45CE9" w:rsidRDefault="00A45CE9" w:rsidP="00A45CE9">
      <w:pPr>
        <w:ind w:right="720" w:firstLine="0"/>
      </w:pPr>
    </w:p>
    <w:p w:rsidR="00A45CE9" w:rsidRDefault="00A45CE9" w:rsidP="00A45CE9">
      <w:pPr>
        <w:ind w:right="720" w:firstLine="0"/>
      </w:pPr>
      <w:r>
        <w:t xml:space="preserve">(b) shall be washed in accordance with orthodox Hebrew religious requirements within seventy-two hours after slaughter, and within each subsequent seventy-two hour period, by a duly ordained orthodox rabbi or by a person authorized by him. </w:t>
      </w:r>
      <w:r w:rsidR="00452465">
        <w:t>. . .</w:t>
      </w:r>
    </w:p>
    <w:p w:rsidR="00A45CE9" w:rsidRDefault="00A45CE9" w:rsidP="00452465">
      <w:pPr>
        <w:ind w:right="720" w:firstLine="0"/>
      </w:pPr>
    </w:p>
    <w:p w:rsidR="00A45CE9" w:rsidRDefault="00A45CE9" w:rsidP="00A45CE9">
      <w:pPr>
        <w:ind w:firstLine="0"/>
        <w:jc w:val="left"/>
      </w:pPr>
      <w:r>
        <w:t>[3.] (b) Liver shall be exempted from the requirements of paragraph (b) of subdivision one of this section.”</w:t>
      </w:r>
    </w:p>
    <w:p w:rsidR="00BD119D" w:rsidRDefault="00BD119D" w:rsidP="009719A6">
      <w:pPr>
        <w:ind w:firstLine="0"/>
        <w:jc w:val="left"/>
        <w:rPr>
          <w:rFonts w:eastAsia="Times New Roman" w:cs="Times New Roman"/>
          <w:kern w:val="0"/>
          <w:szCs w:val="24"/>
        </w:rPr>
      </w:pPr>
    </w:p>
    <w:p w:rsidR="009719A6" w:rsidRPr="00DF179B" w:rsidRDefault="006552F1" w:rsidP="009719A6">
      <w:pPr>
        <w:ind w:firstLine="0"/>
        <w:jc w:val="left"/>
        <w:rPr>
          <w:rFonts w:eastAsia="Times New Roman" w:cs="Times New Roman"/>
          <w:kern w:val="0"/>
          <w:szCs w:val="24"/>
        </w:rPr>
      </w:pPr>
      <w:r>
        <w:rPr>
          <w:rFonts w:eastAsia="Times New Roman" w:cs="Times New Roman"/>
          <w:b/>
          <w:kern w:val="0"/>
          <w:szCs w:val="24"/>
        </w:rPr>
        <w:t>9</w:t>
      </w:r>
      <w:r w:rsidR="00BD119D" w:rsidRPr="00BD119D">
        <w:rPr>
          <w:rFonts w:eastAsia="Times New Roman" w:cs="Times New Roman"/>
          <w:b/>
          <w:kern w:val="0"/>
          <w:szCs w:val="24"/>
        </w:rPr>
        <w:t>)</w:t>
      </w:r>
      <w:r w:rsidR="00BD119D">
        <w:rPr>
          <w:rFonts w:eastAsia="Times New Roman" w:cs="Times New Roman"/>
          <w:kern w:val="0"/>
          <w:szCs w:val="24"/>
        </w:rPr>
        <w:t xml:space="preserve"> Shulchan Aruch Yoreh Deah 69:12-13</w:t>
      </w:r>
      <w:r w:rsidR="009719A6" w:rsidRPr="00DF179B">
        <w:rPr>
          <w:rFonts w:eastAsia="Times New Roman" w:cs="Times New Roman"/>
          <w:kern w:val="0"/>
          <w:szCs w:val="24"/>
        </w:rPr>
        <w:br/>
      </w:r>
    </w:p>
    <w:p w:rsidR="00BD119D" w:rsidRPr="003D1C62" w:rsidRDefault="00BD119D" w:rsidP="00BD119D">
      <w:pPr>
        <w:jc w:val="right"/>
        <w:rPr>
          <w:rFonts w:asciiTheme="majorBidi" w:hAnsiTheme="majorBidi" w:cstheme="majorBidi"/>
          <w:sz w:val="26"/>
          <w:szCs w:val="26"/>
        </w:rPr>
      </w:pPr>
      <w:r w:rsidRPr="003D1C62">
        <w:rPr>
          <w:rFonts w:asciiTheme="majorBidi" w:hAnsiTheme="majorBidi" w:cstheme="majorBidi" w:hint="cs"/>
          <w:sz w:val="26"/>
          <w:szCs w:val="26"/>
          <w:rtl/>
          <w:lang w:bidi="he-IL"/>
        </w:rPr>
        <w:t>סעיף יב</w:t>
      </w:r>
    </w:p>
    <w:p w:rsidR="00BD119D" w:rsidRPr="003D1C62" w:rsidRDefault="00BD119D" w:rsidP="00BD119D">
      <w:pPr>
        <w:jc w:val="right"/>
        <w:rPr>
          <w:rFonts w:asciiTheme="majorBidi" w:hAnsiTheme="majorBidi" w:cstheme="majorBidi"/>
          <w:sz w:val="26"/>
          <w:szCs w:val="26"/>
          <w:lang w:bidi="he-IL"/>
        </w:rPr>
      </w:pPr>
      <w:r w:rsidRPr="003D1C62">
        <w:rPr>
          <w:rFonts w:asciiTheme="majorBidi" w:hAnsiTheme="majorBidi" w:cstheme="majorBidi" w:hint="cs"/>
          <w:sz w:val="26"/>
          <w:szCs w:val="26"/>
          <w:rtl/>
          <w:lang w:bidi="he-IL"/>
        </w:rPr>
        <w:t>בשר ששהה ג' ימים מעת לעת בלא מליחה, נתייבש דמו בתוכו ולא יצא עוד ע"י מליחה ואין לאוכלו מבושל, אלא צלי. . .</w:t>
      </w:r>
    </w:p>
    <w:p w:rsidR="00BD119D" w:rsidRPr="003D1C62" w:rsidRDefault="00BD119D" w:rsidP="00BD119D">
      <w:pPr>
        <w:jc w:val="right"/>
        <w:rPr>
          <w:rFonts w:asciiTheme="majorBidi" w:hAnsiTheme="majorBidi" w:cstheme="majorBidi"/>
          <w:sz w:val="26"/>
          <w:szCs w:val="26"/>
        </w:rPr>
      </w:pPr>
      <w:r w:rsidRPr="003D1C62">
        <w:rPr>
          <w:rFonts w:asciiTheme="majorBidi" w:hAnsiTheme="majorBidi" w:cstheme="majorBidi"/>
          <w:sz w:val="26"/>
          <w:szCs w:val="26"/>
        </w:rPr>
        <w:t xml:space="preserve">     </w:t>
      </w:r>
      <w:r w:rsidRPr="003D1C62">
        <w:rPr>
          <w:rFonts w:asciiTheme="majorBidi" w:hAnsiTheme="majorBidi" w:cstheme="majorBidi" w:hint="cs"/>
          <w:sz w:val="26"/>
          <w:szCs w:val="26"/>
          <w:rtl/>
          <w:lang w:bidi="he-IL"/>
        </w:rPr>
        <w:t>סעיף יג</w:t>
      </w:r>
    </w:p>
    <w:p w:rsidR="00582121" w:rsidRPr="003D1C62" w:rsidRDefault="00BD119D" w:rsidP="00BD119D">
      <w:pPr>
        <w:ind w:firstLine="0"/>
        <w:jc w:val="right"/>
        <w:rPr>
          <w:rFonts w:eastAsia="Times New Roman" w:cs="Times New Roman"/>
          <w:kern w:val="0"/>
          <w:sz w:val="26"/>
          <w:szCs w:val="26"/>
        </w:rPr>
      </w:pPr>
      <w:r w:rsidRPr="003D1C62">
        <w:rPr>
          <w:rFonts w:asciiTheme="majorBidi" w:hAnsiTheme="majorBidi" w:cstheme="majorBidi"/>
          <w:sz w:val="26"/>
          <w:szCs w:val="26"/>
          <w:rtl/>
          <w:lang w:bidi="he-IL"/>
        </w:rPr>
        <w:t xml:space="preserve">ואם שרו אותו במים תוך הג' ימים, יכול להשהותו עוד שלשה ימים אחרים פחות חצי שעה . </w:t>
      </w:r>
      <w:r w:rsidR="003D1C62" w:rsidRPr="003D1C62">
        <w:rPr>
          <w:rFonts w:asciiTheme="majorBidi" w:hAnsiTheme="majorBidi" w:cstheme="majorBidi"/>
          <w:sz w:val="26"/>
          <w:szCs w:val="26"/>
          <w:rtl/>
          <w:lang w:bidi="he-IL"/>
        </w:rPr>
        <w:t xml:space="preserve">. </w:t>
      </w:r>
      <w:r w:rsidRPr="003D1C62">
        <w:rPr>
          <w:rFonts w:asciiTheme="majorBidi" w:hAnsiTheme="majorBidi" w:cstheme="majorBidi"/>
          <w:sz w:val="26"/>
          <w:szCs w:val="26"/>
          <w:rtl/>
          <w:lang w:bidi="he-IL"/>
        </w:rPr>
        <w:t>.</w:t>
      </w:r>
    </w:p>
    <w:p w:rsidR="00582121" w:rsidRPr="00DF179B" w:rsidRDefault="00582121" w:rsidP="00A25928">
      <w:pPr>
        <w:ind w:firstLine="0"/>
        <w:jc w:val="left"/>
        <w:rPr>
          <w:rFonts w:eastAsia="Times New Roman" w:cs="Times New Roman"/>
          <w:kern w:val="0"/>
          <w:szCs w:val="24"/>
        </w:rPr>
      </w:pPr>
    </w:p>
    <w:p w:rsidR="003D1C62" w:rsidRPr="00DF179B" w:rsidRDefault="006552F1" w:rsidP="003D1C62">
      <w:pPr>
        <w:ind w:firstLine="0"/>
        <w:jc w:val="left"/>
        <w:rPr>
          <w:rFonts w:eastAsia="Times New Roman" w:cs="Times New Roman"/>
          <w:kern w:val="0"/>
          <w:szCs w:val="24"/>
        </w:rPr>
      </w:pPr>
      <w:r>
        <w:rPr>
          <w:rFonts w:eastAsia="Times New Roman" w:cs="Times New Roman"/>
          <w:b/>
          <w:kern w:val="0"/>
          <w:szCs w:val="24"/>
        </w:rPr>
        <w:t>10</w:t>
      </w:r>
      <w:r w:rsidR="003D1C62" w:rsidRPr="00FF1F4F">
        <w:rPr>
          <w:rFonts w:eastAsia="Times New Roman" w:cs="Times New Roman"/>
          <w:b/>
          <w:kern w:val="0"/>
          <w:szCs w:val="24"/>
        </w:rPr>
        <w:t>)</w:t>
      </w:r>
      <w:r w:rsidR="003D1C62">
        <w:rPr>
          <w:rFonts w:eastAsia="Times New Roman" w:cs="Times New Roman"/>
          <w:kern w:val="0"/>
          <w:szCs w:val="24"/>
        </w:rPr>
        <w:t xml:space="preserve"> </w:t>
      </w:r>
      <w:r w:rsidR="003D1C62" w:rsidRPr="003D1C62">
        <w:rPr>
          <w:rFonts w:eastAsia="Times New Roman" w:cs="Times New Roman"/>
          <w:i/>
          <w:kern w:val="0"/>
          <w:szCs w:val="24"/>
        </w:rPr>
        <w:t>Commack Self-Serv. Kosher Meats, Inc. v. Weiss</w:t>
      </w:r>
      <w:r w:rsidR="003D1C62" w:rsidRPr="00DF179B">
        <w:rPr>
          <w:rFonts w:eastAsia="Times New Roman" w:cs="Times New Roman"/>
          <w:kern w:val="0"/>
          <w:szCs w:val="24"/>
        </w:rPr>
        <w:t xml:space="preserve">, </w:t>
      </w:r>
      <w:r w:rsidR="003D1C62">
        <w:rPr>
          <w:rFonts w:eastAsia="Times New Roman" w:cs="Times New Roman"/>
          <w:kern w:val="0"/>
          <w:szCs w:val="24"/>
        </w:rPr>
        <w:t xml:space="preserve">294 F.3d 415 </w:t>
      </w:r>
      <w:r w:rsidR="003D1C62" w:rsidRPr="00DF179B">
        <w:rPr>
          <w:rFonts w:eastAsia="Times New Roman" w:cs="Times New Roman"/>
          <w:kern w:val="0"/>
          <w:szCs w:val="24"/>
        </w:rPr>
        <w:t>(2d Cir. 2002)</w:t>
      </w:r>
    </w:p>
    <w:p w:rsidR="003D1C62" w:rsidRDefault="003D1C62" w:rsidP="00A25928">
      <w:pPr>
        <w:ind w:firstLine="0"/>
        <w:jc w:val="left"/>
        <w:rPr>
          <w:rFonts w:eastAsia="Times New Roman" w:cs="Times New Roman"/>
          <w:kern w:val="0"/>
          <w:szCs w:val="24"/>
        </w:rPr>
      </w:pPr>
    </w:p>
    <w:p w:rsidR="00A25928" w:rsidRPr="00DF179B" w:rsidRDefault="003D1C62" w:rsidP="00A25928">
      <w:pPr>
        <w:ind w:firstLine="0"/>
        <w:jc w:val="left"/>
        <w:rPr>
          <w:rFonts w:eastAsia="Times New Roman" w:cs="Times New Roman"/>
          <w:kern w:val="0"/>
          <w:szCs w:val="24"/>
        </w:rPr>
      </w:pPr>
      <w:r>
        <w:rPr>
          <w:rFonts w:eastAsia="Times New Roman" w:cs="Times New Roman"/>
          <w:kern w:val="0"/>
          <w:szCs w:val="24"/>
        </w:rPr>
        <w:t>“</w:t>
      </w:r>
      <w:r w:rsidR="00A25928" w:rsidRPr="00DF179B">
        <w:rPr>
          <w:rFonts w:eastAsia="Times New Roman" w:cs="Times New Roman"/>
          <w:kern w:val="0"/>
          <w:szCs w:val="24"/>
        </w:rPr>
        <w:t>It appears to us that the challenged laws excessively entangle government and religion because they (1) take sides in a religious matter, effectively discriminating in favor of the Orthodox Hebrew view of dietary requirements; (2) require the State to take an official position on religious doctrine; and (3) create an impermissible fusion of governmental and religious functions by delegating civic authority to individuals apparently chosen according to religious criteria. …</w:t>
      </w:r>
    </w:p>
    <w:p w:rsidR="00A25928" w:rsidRPr="00DF179B" w:rsidRDefault="00A25928" w:rsidP="00A25928">
      <w:pPr>
        <w:ind w:firstLine="0"/>
        <w:jc w:val="left"/>
        <w:rPr>
          <w:rFonts w:eastAsia="Times New Roman" w:cs="Times New Roman"/>
          <w:kern w:val="0"/>
          <w:szCs w:val="24"/>
        </w:rPr>
      </w:pPr>
    </w:p>
    <w:p w:rsidR="00615456" w:rsidRPr="00DF179B" w:rsidRDefault="00615456" w:rsidP="00A25928">
      <w:pPr>
        <w:ind w:firstLine="0"/>
        <w:jc w:val="left"/>
        <w:rPr>
          <w:rFonts w:eastAsia="Times New Roman" w:cs="Times New Roman"/>
          <w:kern w:val="0"/>
          <w:szCs w:val="24"/>
        </w:rPr>
      </w:pPr>
      <w:r w:rsidRPr="00DF179B">
        <w:rPr>
          <w:rStyle w:val="cohl"/>
          <w:rFonts w:cs="Times New Roman"/>
          <w:szCs w:val="24"/>
        </w:rPr>
        <w:lastRenderedPageBreak/>
        <w:t>We find it indisputable that there are differences of opinion within Judaism regarding the dietary requirements of </w:t>
      </w:r>
      <w:r w:rsidRPr="00DF179B">
        <w:rPr>
          <w:rStyle w:val="cohl"/>
          <w:rFonts w:cs="Times New Roman"/>
          <w:i/>
          <w:iCs/>
          <w:szCs w:val="24"/>
        </w:rPr>
        <w:t>kashrut.</w:t>
      </w:r>
      <w:r w:rsidRPr="00DF179B">
        <w:rPr>
          <w:rStyle w:val="cohl"/>
          <w:rFonts w:cs="Times New Roman"/>
          <w:szCs w:val="24"/>
        </w:rPr>
        <w:t> As a result, because</w:t>
      </w:r>
      <w:r w:rsidR="00FF1F4F">
        <w:rPr>
          <w:rStyle w:val="cohl"/>
          <w:rFonts w:cs="Times New Roman"/>
          <w:szCs w:val="24"/>
        </w:rPr>
        <w:t xml:space="preserve"> the challenged laws interpret ‘kosher’</w:t>
      </w:r>
      <w:r w:rsidRPr="00DF179B">
        <w:rPr>
          <w:rStyle w:val="cohl"/>
          <w:rFonts w:cs="Times New Roman"/>
          <w:szCs w:val="24"/>
        </w:rPr>
        <w:t xml:space="preserve"> as synonymous with the views of one branch, those of Orthodox Judaism, the State has effectively aligned itself with one side of an internal debate within Judaism. This it may not do.</w:t>
      </w:r>
      <w:r w:rsidRPr="00DF179B">
        <w:rPr>
          <w:rFonts w:eastAsia="Times New Roman" w:cs="Times New Roman"/>
          <w:kern w:val="0"/>
          <w:szCs w:val="24"/>
        </w:rPr>
        <w:t xml:space="preserve"> …</w:t>
      </w:r>
    </w:p>
    <w:p w:rsidR="00615456" w:rsidRPr="00DF179B" w:rsidRDefault="00615456" w:rsidP="00A25928">
      <w:pPr>
        <w:ind w:firstLine="0"/>
        <w:jc w:val="left"/>
        <w:rPr>
          <w:rFonts w:eastAsia="Times New Roman" w:cs="Times New Roman"/>
          <w:kern w:val="0"/>
          <w:szCs w:val="24"/>
        </w:rPr>
      </w:pPr>
    </w:p>
    <w:p w:rsidR="00615456" w:rsidRPr="00571C64" w:rsidRDefault="00615456" w:rsidP="00615456">
      <w:pPr>
        <w:ind w:firstLine="0"/>
        <w:jc w:val="left"/>
        <w:rPr>
          <w:rFonts w:eastAsia="Times New Roman" w:cs="Times New Roman"/>
          <w:kern w:val="0"/>
          <w:szCs w:val="24"/>
          <w:u w:val="single"/>
        </w:rPr>
      </w:pPr>
      <w:r w:rsidRPr="00DF179B">
        <w:rPr>
          <w:rFonts w:eastAsia="Times New Roman" w:cs="Times New Roman"/>
          <w:kern w:val="0"/>
          <w:szCs w:val="24"/>
        </w:rPr>
        <w:t xml:space="preserve">To illustrate, </w:t>
      </w:r>
      <w:r w:rsidRPr="00571C64">
        <w:rPr>
          <w:rFonts w:eastAsia="Times New Roman" w:cs="Times New Roman"/>
          <w:kern w:val="0"/>
          <w:szCs w:val="24"/>
          <w:u w:val="single"/>
        </w:rPr>
        <w:t>in response to their third citation, the Yarmeisches filed a demand for a bill of particulars, requesting that the State set forth in detail certain Orthodox Hebrew religious requirements for kosher food preparation. In order to respond to this demand, State officials corresponded with various Department officials seeking information regarding the proper koshering requirements. For example, a letter sent by Earl S. Roberts, Assistant Attorney General, to Michael McCormick, Assistant Counsel for the Department, requested assistance in responding to the Yarmeisches' demand</w:t>
      </w:r>
      <w:r w:rsidR="003D1C62" w:rsidRPr="00571C64">
        <w:rPr>
          <w:rFonts w:eastAsia="Times New Roman" w:cs="Times New Roman"/>
          <w:kern w:val="0"/>
          <w:szCs w:val="24"/>
          <w:u w:val="single"/>
        </w:rPr>
        <w:t xml:space="preserve"> and instructed McCormick that ‘</w:t>
      </w:r>
      <w:r w:rsidRPr="00571C64">
        <w:rPr>
          <w:rFonts w:eastAsia="Times New Roman" w:cs="Times New Roman"/>
          <w:kern w:val="0"/>
          <w:szCs w:val="24"/>
          <w:u w:val="single"/>
        </w:rPr>
        <w:t>[t]he [b]ill [of particulars] should describe briefly each requirement of the kosherizing, i.e. deveining, soaking, salting, and rinsing and identify the code of Jewish Law (Shulhan Aruch) by the tractate and sections which set forth the</w:t>
      </w:r>
      <w:r w:rsidR="003D1C62" w:rsidRPr="00571C64">
        <w:rPr>
          <w:rFonts w:eastAsia="Times New Roman" w:cs="Times New Roman"/>
          <w:kern w:val="0"/>
          <w:szCs w:val="24"/>
          <w:u w:val="single"/>
        </w:rPr>
        <w:t>se requirements in full detail.’ . . .</w:t>
      </w:r>
    </w:p>
    <w:p w:rsidR="003D1C62" w:rsidRPr="00571C64" w:rsidRDefault="003D1C62" w:rsidP="00615456">
      <w:pPr>
        <w:ind w:firstLine="0"/>
        <w:jc w:val="left"/>
        <w:rPr>
          <w:rFonts w:eastAsia="Times New Roman" w:cs="Times New Roman"/>
          <w:kern w:val="0"/>
          <w:szCs w:val="24"/>
          <w:u w:val="single"/>
        </w:rPr>
      </w:pPr>
    </w:p>
    <w:p w:rsidR="003D1C62" w:rsidRPr="00571C64" w:rsidRDefault="003D1C62" w:rsidP="003D1C62">
      <w:pPr>
        <w:ind w:firstLine="0"/>
        <w:jc w:val="left"/>
        <w:rPr>
          <w:rFonts w:eastAsia="Times New Roman" w:cs="Times New Roman"/>
          <w:kern w:val="0"/>
          <w:szCs w:val="24"/>
          <w:u w:val="single"/>
        </w:rPr>
      </w:pPr>
      <w:r w:rsidRPr="00571C64">
        <w:rPr>
          <w:rFonts w:eastAsia="Times New Roman" w:cs="Times New Roman"/>
          <w:kern w:val="0"/>
          <w:szCs w:val="24"/>
          <w:u w:val="single"/>
        </w:rPr>
        <w:t>The draft bill of particulars prepared by New York State in response to the Yarmeisches' request contains the following:</w:t>
      </w:r>
    </w:p>
    <w:p w:rsidR="003D1C62" w:rsidRPr="00571C64" w:rsidRDefault="003D1C62" w:rsidP="003D1C62">
      <w:pPr>
        <w:ind w:firstLine="0"/>
        <w:jc w:val="left"/>
        <w:rPr>
          <w:rFonts w:eastAsia="Times New Roman" w:cs="Times New Roman"/>
          <w:kern w:val="0"/>
          <w:szCs w:val="24"/>
          <w:u w:val="single"/>
        </w:rPr>
      </w:pPr>
      <w:r w:rsidRPr="00571C64">
        <w:rPr>
          <w:rFonts w:eastAsia="Times New Roman" w:cs="Times New Roman"/>
          <w:kern w:val="0"/>
          <w:szCs w:val="24"/>
          <w:u w:val="single"/>
        </w:rPr>
        <w:t>1) Veins that contain forbidden blood have to be removed [as] indicated in Section 65, chapter 1 through 5, referred to as laws for removing veins of forbidden blood (Yore Dayah) located in Shulhan Aruch.</w:t>
      </w:r>
    </w:p>
    <w:p w:rsidR="003D1C62" w:rsidRPr="00DF179B" w:rsidRDefault="003D1C62" w:rsidP="003D1C62">
      <w:pPr>
        <w:ind w:firstLine="0"/>
        <w:jc w:val="left"/>
        <w:rPr>
          <w:rFonts w:eastAsia="Times New Roman" w:cs="Times New Roman"/>
          <w:kern w:val="0"/>
          <w:szCs w:val="24"/>
        </w:rPr>
      </w:pPr>
      <w:r w:rsidRPr="00571C64">
        <w:rPr>
          <w:rFonts w:eastAsia="Times New Roman" w:cs="Times New Roman"/>
          <w:kern w:val="0"/>
          <w:szCs w:val="24"/>
          <w:u w:val="single"/>
        </w:rPr>
        <w:t>1b) Law of soaking and salting are in Shulhan Aruch (Yore Dayah chapter 1 through 21)</w:t>
      </w:r>
      <w:r w:rsidRPr="003D1C62">
        <w:rPr>
          <w:rFonts w:eastAsia="Times New Roman" w:cs="Times New Roman"/>
          <w:kern w:val="0"/>
          <w:szCs w:val="24"/>
        </w:rPr>
        <w:t>. . . .</w:t>
      </w:r>
    </w:p>
    <w:p w:rsidR="00615456" w:rsidRPr="00DF179B" w:rsidRDefault="00615456" w:rsidP="00615456">
      <w:pPr>
        <w:ind w:firstLine="0"/>
        <w:jc w:val="left"/>
        <w:rPr>
          <w:rFonts w:eastAsia="Times New Roman" w:cs="Times New Roman"/>
          <w:kern w:val="0"/>
          <w:szCs w:val="24"/>
        </w:rPr>
      </w:pPr>
    </w:p>
    <w:p w:rsidR="00615456" w:rsidRPr="00DF179B" w:rsidRDefault="00615456" w:rsidP="00615456">
      <w:pPr>
        <w:ind w:firstLine="0"/>
        <w:jc w:val="left"/>
        <w:rPr>
          <w:rFonts w:eastAsia="Times New Roman" w:cs="Times New Roman"/>
          <w:kern w:val="0"/>
          <w:szCs w:val="24"/>
        </w:rPr>
      </w:pPr>
      <w:r w:rsidRPr="00DF179B">
        <w:rPr>
          <w:rFonts w:eastAsia="Times New Roman" w:cs="Times New Roman"/>
          <w:kern w:val="0"/>
          <w:szCs w:val="24"/>
        </w:rPr>
        <w:t>The State authorities could not make a determination that the Yarmeisches' meat did not conform to kosher requirements without first having arrived at an official position on what the kosher requirements are. To do so excessively entangles the State with religion. …</w:t>
      </w:r>
    </w:p>
    <w:p w:rsidR="00615456" w:rsidRPr="00DF179B" w:rsidRDefault="00615456" w:rsidP="00615456">
      <w:pPr>
        <w:ind w:firstLine="0"/>
        <w:jc w:val="left"/>
        <w:rPr>
          <w:rFonts w:eastAsia="Times New Roman" w:cs="Times New Roman"/>
          <w:kern w:val="0"/>
          <w:szCs w:val="24"/>
        </w:rPr>
      </w:pPr>
    </w:p>
    <w:p w:rsidR="00A25928" w:rsidRDefault="00615456" w:rsidP="00615456">
      <w:pPr>
        <w:ind w:firstLine="0"/>
        <w:jc w:val="left"/>
        <w:rPr>
          <w:rFonts w:eastAsia="Times New Roman" w:cs="Times New Roman"/>
          <w:kern w:val="0"/>
          <w:szCs w:val="24"/>
        </w:rPr>
      </w:pPr>
      <w:r w:rsidRPr="00DF179B">
        <w:rPr>
          <w:rFonts w:eastAsia="Times New Roman" w:cs="Times New Roman"/>
          <w:kern w:val="0"/>
          <w:szCs w:val="24"/>
        </w:rPr>
        <w:t>We also note that one provision of the challenged laws, section 201-f(1)(b), represents an extraordinary entanglement of government and religion. Section 201-f req</w:t>
      </w:r>
      <w:r w:rsidR="003D1C62">
        <w:rPr>
          <w:rFonts w:eastAsia="Times New Roman" w:cs="Times New Roman"/>
          <w:kern w:val="0"/>
          <w:szCs w:val="24"/>
        </w:rPr>
        <w:t>uires that meat represented as ‘</w:t>
      </w:r>
      <w:r w:rsidRPr="00DF179B">
        <w:rPr>
          <w:rFonts w:eastAsia="Times New Roman" w:cs="Times New Roman"/>
          <w:kern w:val="0"/>
          <w:szCs w:val="24"/>
        </w:rPr>
        <w:t>having been prepared in accordance with orthodox</w:t>
      </w:r>
      <w:r w:rsidR="003D1C62">
        <w:rPr>
          <w:rFonts w:eastAsia="Times New Roman" w:cs="Times New Roman"/>
          <w:kern w:val="0"/>
          <w:szCs w:val="24"/>
        </w:rPr>
        <w:t xml:space="preserve"> Hebrew religious requirements,’</w:t>
      </w:r>
      <w:r w:rsidRPr="00DF179B">
        <w:rPr>
          <w:rFonts w:eastAsia="Times New Roman" w:cs="Times New Roman"/>
          <w:kern w:val="0"/>
          <w:szCs w:val="24"/>
        </w:rPr>
        <w:t xml:space="preserve"> but not immediately soaked and salted after slaught</w:t>
      </w:r>
      <w:r w:rsidR="003D1C62">
        <w:rPr>
          <w:rFonts w:eastAsia="Times New Roman" w:cs="Times New Roman"/>
          <w:kern w:val="0"/>
          <w:szCs w:val="24"/>
        </w:rPr>
        <w:t>ering, must be properly washed ‘</w:t>
      </w:r>
      <w:r w:rsidRPr="00DF179B">
        <w:rPr>
          <w:rFonts w:eastAsia="Times New Roman" w:cs="Times New Roman"/>
          <w:kern w:val="0"/>
          <w:szCs w:val="24"/>
        </w:rPr>
        <w:t xml:space="preserve">by a duly ordained </w:t>
      </w:r>
      <w:r w:rsidRPr="00DF179B">
        <w:rPr>
          <w:rFonts w:eastAsia="Times New Roman" w:cs="Times New Roman"/>
          <w:i/>
          <w:kern w:val="0"/>
          <w:szCs w:val="24"/>
        </w:rPr>
        <w:t>orthodox</w:t>
      </w:r>
      <w:r w:rsidRPr="00DF179B">
        <w:rPr>
          <w:rFonts w:eastAsia="Times New Roman" w:cs="Times New Roman"/>
          <w:kern w:val="0"/>
          <w:szCs w:val="24"/>
        </w:rPr>
        <w:t xml:space="preserve"> rabbi or by a</w:t>
      </w:r>
      <w:r w:rsidR="003D1C62">
        <w:rPr>
          <w:rFonts w:eastAsia="Times New Roman" w:cs="Times New Roman"/>
          <w:kern w:val="0"/>
          <w:szCs w:val="24"/>
        </w:rPr>
        <w:t xml:space="preserve"> person authorized by him.’</w:t>
      </w:r>
      <w:r w:rsidRPr="00DF179B">
        <w:rPr>
          <w:rFonts w:eastAsia="Times New Roman" w:cs="Times New Roman"/>
          <w:kern w:val="0"/>
          <w:szCs w:val="24"/>
        </w:rPr>
        <w:t xml:space="preserve"> N.Y. Agric. &amp; Mkts. Law § 201-f (emphasis added). That provision, therefore, compels a kosher food vendor to employ a rabbi of a particular branch of Judaism in certain circumstances.</w:t>
      </w:r>
      <w:r w:rsidR="003D1C62">
        <w:rPr>
          <w:rFonts w:eastAsia="Times New Roman" w:cs="Times New Roman"/>
          <w:kern w:val="0"/>
          <w:szCs w:val="24"/>
        </w:rPr>
        <w:t>”</w:t>
      </w:r>
      <w:r w:rsidR="00A25928" w:rsidRPr="00DF179B">
        <w:rPr>
          <w:rFonts w:eastAsia="Times New Roman" w:cs="Times New Roman"/>
          <w:kern w:val="0"/>
          <w:szCs w:val="24"/>
        </w:rPr>
        <w:br/>
      </w:r>
    </w:p>
    <w:p w:rsidR="00FF1F4F" w:rsidRPr="00FF1F4F" w:rsidRDefault="006552F1" w:rsidP="00FF1F4F">
      <w:pPr>
        <w:ind w:firstLine="0"/>
        <w:jc w:val="left"/>
        <w:rPr>
          <w:rFonts w:eastAsia="Times New Roman" w:cs="Times New Roman"/>
          <w:kern w:val="0"/>
          <w:szCs w:val="24"/>
        </w:rPr>
      </w:pPr>
      <w:r>
        <w:rPr>
          <w:rFonts w:eastAsia="Times New Roman" w:cs="Times New Roman"/>
          <w:b/>
          <w:kern w:val="0"/>
          <w:szCs w:val="24"/>
        </w:rPr>
        <w:t>11</w:t>
      </w:r>
      <w:r w:rsidR="00FF1F4F" w:rsidRPr="00FF1F4F">
        <w:rPr>
          <w:rFonts w:eastAsia="Times New Roman" w:cs="Times New Roman"/>
          <w:b/>
          <w:kern w:val="0"/>
          <w:szCs w:val="24"/>
        </w:rPr>
        <w:t>)</w:t>
      </w:r>
      <w:r w:rsidR="00FF1F4F">
        <w:rPr>
          <w:rFonts w:eastAsia="Times New Roman" w:cs="Times New Roman"/>
          <w:b/>
          <w:kern w:val="0"/>
          <w:szCs w:val="24"/>
        </w:rPr>
        <w:t xml:space="preserve"> </w:t>
      </w:r>
      <w:r w:rsidR="00FF1F4F" w:rsidRPr="00FF1F4F">
        <w:rPr>
          <w:rFonts w:eastAsia="Times New Roman" w:cs="Times New Roman"/>
          <w:b/>
          <w:kern w:val="0"/>
          <w:szCs w:val="24"/>
        </w:rPr>
        <w:t xml:space="preserve"> </w:t>
      </w:r>
      <w:r w:rsidR="00FF1F4F" w:rsidRPr="00FF1F4F">
        <w:rPr>
          <w:rFonts w:eastAsia="Times New Roman" w:cs="Times New Roman"/>
          <w:kern w:val="0"/>
          <w:szCs w:val="24"/>
        </w:rPr>
        <w:t>Why Can't Prison Figure Out How a Minyan Works? It's Not That Complicated!</w:t>
      </w:r>
    </w:p>
    <w:p w:rsidR="00FF1F4F" w:rsidRDefault="00FF1F4F" w:rsidP="00FF1F4F">
      <w:pPr>
        <w:ind w:firstLine="0"/>
        <w:jc w:val="left"/>
        <w:rPr>
          <w:rFonts w:eastAsia="Times New Roman" w:cs="Times New Roman"/>
          <w:kern w:val="0"/>
          <w:szCs w:val="24"/>
        </w:rPr>
      </w:pPr>
      <w:r>
        <w:rPr>
          <w:rFonts w:eastAsia="Times New Roman" w:cs="Times New Roman"/>
          <w:kern w:val="0"/>
          <w:szCs w:val="24"/>
        </w:rPr>
        <w:t xml:space="preserve">        By </w:t>
      </w:r>
      <w:r w:rsidRPr="00FF1F4F">
        <w:rPr>
          <w:rFonts w:eastAsia="Times New Roman" w:cs="Times New Roman"/>
          <w:kern w:val="0"/>
          <w:szCs w:val="24"/>
        </w:rPr>
        <w:t>Michael A. Helfand</w:t>
      </w:r>
      <w:r>
        <w:rPr>
          <w:rFonts w:eastAsia="Times New Roman" w:cs="Times New Roman"/>
          <w:kern w:val="0"/>
          <w:szCs w:val="24"/>
        </w:rPr>
        <w:t xml:space="preserve"> (The Forward March 7, 2016)</w:t>
      </w:r>
    </w:p>
    <w:p w:rsid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Pr>
          <w:rFonts w:eastAsia="Times New Roman" w:cs="Times New Roman"/>
          <w:kern w:val="0"/>
          <w:szCs w:val="24"/>
        </w:rPr>
        <w:t>“</w:t>
      </w:r>
      <w:r w:rsidRPr="00FF1F4F">
        <w:rPr>
          <w:rFonts w:eastAsia="Times New Roman" w:cs="Times New Roman"/>
          <w:kern w:val="0"/>
          <w:szCs w:val="24"/>
        </w:rPr>
        <w:t>I guess it isn’t surprising that it’s hard to find a minyan — a quorum of 10 Jews — in a North Carolina prison. I just didn’t think that was something I’d ever be learning from the Supreme Court.</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 xml:space="preserve">But that’s precisely what Supreme Court Justice Alito told us in one of his recent dissenting opinions. As described by Alito, a North Carolina inmate, Israel Ben-Levi, requested to have a group Jewish Bible study. But the prison denied his request because it concluded that “Jewish study group requires a quorum of 10 adult Jews (also referred to as a minyan)” and Ben-Levi </w:t>
      </w:r>
      <w:r w:rsidRPr="00FF1F4F">
        <w:rPr>
          <w:rFonts w:eastAsia="Times New Roman" w:cs="Times New Roman"/>
          <w:kern w:val="0"/>
          <w:szCs w:val="24"/>
        </w:rPr>
        <w:lastRenderedPageBreak/>
        <w:t>couldn’t pull together a group large enough to satisfy that standard; indeed, “Ben-Levi’s proposed group… had only three members.” Both federal courts to hear the case held that the prison’s decision did not violate Ben-Levi’s religious-liberty rights. And despite Alito’s dissent, the Supreme Court refused to hear the case, leaving that denial in place.</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You may find yourself scratching your head. First, why can’t a prison let an inmate just study some Torah with a few of his friends? And second, why on earth did the prison and the courts seem to think you need 10 people to study Torah? Sure, you may need a minyan for prayer, but where on earth did the prison get the idea that you also need it for Torah study? As it turns out, the prison’s strange views about the minyan also explain why the courts did a bad job in protecting Ben-Levi’s religious liberty.</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To deal with religious issues, the North Carolina Department of Correction Division of Prisons has a Religious Practices Reference Manual, which is supposed to provide the 411 on all major religions so that correctional officials can better “face situations in which religious questions arise.” The manual does note, in what turns out to be an epic understatement, “[t]his manual is intended only as a resource. It does not confer theological expertise.”</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On that last point, there certainly is no disagreement. Consider the following two excerpts from the 2004 version of the manual describing Jewish practice: “The ‘Shema’ is recited three times a day every morning and evening by the devout Jew” (correct answer: twice a day unless you plan on engaging in some creative and peculiar methods of counting). Also, according to the 2004 manual, the “Prayer Shawl (Tallis) … [is] Worn during morning prayers by females” (correct answer: in some Jewish denominations it is solely worn by men and in others by both men and women — the North Carolina denomination of Judaism, where only women where the Tallis, is obviously quite progressive).</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But beyond these moderately amusing errors — some of which have thankfully been corrected in subsequent versions — the manual contains the following provision, which was of particular importance to Ben-Levi: “A quorum (minyan) of ten adults is usually required to hold a formal Jewish worship service, but this requirement may be waived in a prison setting when led by a Rabbi.” Now, one hopes the “one-rabbi-equals-ten-adults” rule isn’t yet another bungled attempt at restating Jewish law; it may simply have been, as the prison indicated in some of its briefs, a willingness to allow Jewish prisoners to gather so long as there was a religious leader present to keep order.</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Of additional importance to Ben-Levi was the prison’s bizarre extension of the minyan requirement beyond just prayer services, to any form a Jewish study. In denying Ben-Levi’s request, the director of chaplaincy, Betty Brown, wrote, “our subject matter experts who assisted us in framing the Jewish Policy was very direct in advising us that a quorum (minyan) of 10 adult Jews is usually required to hold formal Jewish Worship Services.” And although Brown also added that this requirement could be waived when the service is “led by a Rabbi,” no rabbi was available; therefore, “without an Orthodox volunteer to supervise a study group, no formal authorization can be given” — and here’s the kicker — “even though you say that requirements are relaxed for an orthodox Jewish bible study.”</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lastRenderedPageBreak/>
        <w:t>In other words, silly Ben-Levi, where did you get this idea that Jewish law’s strict quorum requirement doesn’t apply when it comes to Torah study. I mean, who would think such a thing?</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The answer is Rabbi Gary Friedman of the Jewish Prisoner Services International — the very expert that the prison hired and who, according to Brown’s affidavit submitted to the federal district court, expressly told her, “A minyan is required for formal worship service… A minyan is not required for Torah/Talmud study.” Somehow this distinction, which was not only conveyed to the prison via its own expert, but was subsequently included in the documents submitted by the prison to the federal district court, failed to have any impact on the case’s outcome.</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When Ben-Levi sued the prison for violating his religious liberty, the district court rejected his claim, reciting the garbled rule that “a Jewish Bible Study generally requires a quorum of ten adult Jews. This requirement may be waived when the study is led by a volunteer Rabbi.” In turn, the court concluded that the prison’s denial of Ben-Levi’s request for group Torah study could not have “substantially burden[ed]” his religion because the prison merely “enforced DPS policy requiring that a study with fewer than ten participants be led by a Rabbi.” How could denying this request prevent Ben-Levi from engaging in Jewish practice if everyone knows that you aren’t allowed to study Torah without ten adults — or, you know, a rabbi?</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Amazingly, the federal court of appeals simply affirmed the district court’s decision. And the Supreme Court refused to hear the case. You can hardly blame the Supreme Court for refusing to take the case. It typically only takes cases of extraordinary importance and you’ve got to hope that there isn’t a rash of prisons around the United States evaluating the requests of inmates on the basis of their own imaginary renditions of Jewish law.</w:t>
      </w:r>
    </w:p>
    <w:p w:rsidR="00FF1F4F" w:rsidRPr="00FF1F4F" w:rsidRDefault="00FF1F4F" w:rsidP="00FF1F4F">
      <w:pPr>
        <w:ind w:firstLine="0"/>
        <w:jc w:val="left"/>
        <w:rPr>
          <w:rFonts w:eastAsia="Times New Roman" w:cs="Times New Roman"/>
          <w:kern w:val="0"/>
          <w:szCs w:val="24"/>
        </w:rPr>
      </w:pPr>
    </w:p>
    <w:p w:rsidR="00FF1F4F" w:rsidRPr="00FF1F4F" w:rsidRDefault="00FF1F4F" w:rsidP="00FF1F4F">
      <w:pPr>
        <w:ind w:firstLine="0"/>
        <w:jc w:val="left"/>
        <w:rPr>
          <w:rFonts w:eastAsia="Times New Roman" w:cs="Times New Roman"/>
          <w:kern w:val="0"/>
          <w:szCs w:val="24"/>
        </w:rPr>
      </w:pPr>
      <w:r w:rsidRPr="00FF1F4F">
        <w:rPr>
          <w:rFonts w:eastAsia="Times New Roman" w:cs="Times New Roman"/>
          <w:kern w:val="0"/>
          <w:szCs w:val="24"/>
        </w:rPr>
        <w:t>But Alito, who dissented from the Supreme Court’s decision not to hear Ben-Levi’s appeal, presumably had this one right: Courts have no business trying to evaluate “the validity of [Ben-Levi’s] interpretations” of Jewish law. That conclusion is true as a matter of constitutional law; to do otherwise would constitute a dangerous and impermissible mixing of church and state. But as it turns out, prohibiting a court from allocating benefits and burdens on the basis of its own theological interpretations isn’t just a sound constitutional principle. In some cases, it’s also a really good way to prevent government from making a fool of itself.</w:t>
      </w:r>
      <w:r>
        <w:rPr>
          <w:rFonts w:eastAsia="Times New Roman" w:cs="Times New Roman"/>
          <w:kern w:val="0"/>
          <w:szCs w:val="24"/>
        </w:rPr>
        <w:t>”</w:t>
      </w:r>
    </w:p>
    <w:p w:rsidR="00FF1F4F" w:rsidRPr="00FF1F4F" w:rsidRDefault="00FF1F4F" w:rsidP="00FF1F4F">
      <w:pPr>
        <w:ind w:firstLine="0"/>
        <w:jc w:val="left"/>
        <w:rPr>
          <w:rFonts w:eastAsia="Times New Roman" w:cs="Times New Roman"/>
          <w:b/>
          <w:kern w:val="0"/>
          <w:szCs w:val="24"/>
        </w:rPr>
      </w:pPr>
    </w:p>
    <w:sectPr w:rsidR="00FF1F4F" w:rsidRPr="00FF1F4F" w:rsidSect="00B727AB">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721" w:rsidRDefault="00703721" w:rsidP="006E557F">
      <w:r>
        <w:separator/>
      </w:r>
    </w:p>
  </w:endnote>
  <w:endnote w:type="continuationSeparator" w:id="0">
    <w:p w:rsidR="00703721" w:rsidRDefault="00703721" w:rsidP="006E5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499022"/>
      <w:docPartObj>
        <w:docPartGallery w:val="Page Numbers (Bottom of Page)"/>
        <w:docPartUnique/>
      </w:docPartObj>
    </w:sdtPr>
    <w:sdtEndPr>
      <w:rPr>
        <w:noProof/>
      </w:rPr>
    </w:sdtEndPr>
    <w:sdtContent>
      <w:p w:rsidR="006E557F" w:rsidRDefault="006E557F" w:rsidP="006E557F">
        <w:pPr>
          <w:pStyle w:val="Footer"/>
          <w:ind w:firstLine="0"/>
          <w:jc w:val="center"/>
        </w:pPr>
        <w:r>
          <w:fldChar w:fldCharType="begin"/>
        </w:r>
        <w:r>
          <w:instrText xml:space="preserve"> PAGE   \* MERGEFORMAT </w:instrText>
        </w:r>
        <w:r>
          <w:fldChar w:fldCharType="separate"/>
        </w:r>
        <w:r w:rsidR="00A64A6D">
          <w:rPr>
            <w:noProof/>
          </w:rPr>
          <w:t>7</w:t>
        </w:r>
        <w:r>
          <w:rPr>
            <w:noProof/>
          </w:rPr>
          <w:fldChar w:fldCharType="end"/>
        </w:r>
      </w:p>
    </w:sdtContent>
  </w:sdt>
  <w:p w:rsidR="006E557F" w:rsidRDefault="006E55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721" w:rsidRDefault="00703721" w:rsidP="006E557F">
      <w:r>
        <w:separator/>
      </w:r>
    </w:p>
  </w:footnote>
  <w:footnote w:type="continuationSeparator" w:id="0">
    <w:p w:rsidR="00703721" w:rsidRDefault="00703721" w:rsidP="006E55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27AB" w:rsidRDefault="00B727AB" w:rsidP="00B727AB">
    <w:pPr>
      <w:pStyle w:val="Header"/>
      <w:ind w:firstLine="0"/>
    </w:pPr>
    <w:r>
      <w:t>Yosef Lindell</w:t>
    </w:r>
  </w:p>
  <w:p w:rsidR="00B727AB" w:rsidRDefault="00B727AB" w:rsidP="00B727AB">
    <w:pPr>
      <w:pStyle w:val="Header"/>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CA5"/>
    <w:rsid w:val="00056720"/>
    <w:rsid w:val="001A6EFA"/>
    <w:rsid w:val="00226E27"/>
    <w:rsid w:val="00247C4E"/>
    <w:rsid w:val="00257492"/>
    <w:rsid w:val="002C2BA7"/>
    <w:rsid w:val="0030638F"/>
    <w:rsid w:val="00386D5D"/>
    <w:rsid w:val="003A7189"/>
    <w:rsid w:val="003D1C62"/>
    <w:rsid w:val="003E005A"/>
    <w:rsid w:val="00452465"/>
    <w:rsid w:val="00474799"/>
    <w:rsid w:val="004749C3"/>
    <w:rsid w:val="004A059E"/>
    <w:rsid w:val="004F791E"/>
    <w:rsid w:val="00571C64"/>
    <w:rsid w:val="00582121"/>
    <w:rsid w:val="00597FCF"/>
    <w:rsid w:val="00615456"/>
    <w:rsid w:val="00617E20"/>
    <w:rsid w:val="0062574C"/>
    <w:rsid w:val="006552F1"/>
    <w:rsid w:val="006E557F"/>
    <w:rsid w:val="006E6874"/>
    <w:rsid w:val="00703721"/>
    <w:rsid w:val="00735B18"/>
    <w:rsid w:val="0082379D"/>
    <w:rsid w:val="008248B5"/>
    <w:rsid w:val="008F7BF6"/>
    <w:rsid w:val="00925249"/>
    <w:rsid w:val="009719A6"/>
    <w:rsid w:val="00971C01"/>
    <w:rsid w:val="009B5E25"/>
    <w:rsid w:val="00A25928"/>
    <w:rsid w:val="00A45CE9"/>
    <w:rsid w:val="00A57D92"/>
    <w:rsid w:val="00A64A6D"/>
    <w:rsid w:val="00AC5FD2"/>
    <w:rsid w:val="00AD0972"/>
    <w:rsid w:val="00AD7DCA"/>
    <w:rsid w:val="00B727AB"/>
    <w:rsid w:val="00B96CA5"/>
    <w:rsid w:val="00BD119D"/>
    <w:rsid w:val="00BD1599"/>
    <w:rsid w:val="00BE3FAA"/>
    <w:rsid w:val="00C35A3A"/>
    <w:rsid w:val="00C95354"/>
    <w:rsid w:val="00CE0F0E"/>
    <w:rsid w:val="00CE7637"/>
    <w:rsid w:val="00DF179B"/>
    <w:rsid w:val="00E86C3F"/>
    <w:rsid w:val="00EC128E"/>
    <w:rsid w:val="00F261F5"/>
    <w:rsid w:val="00FE6D04"/>
    <w:rsid w:val="00FF1F4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474799"/>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character" w:styleId="Hyperlink">
    <w:name w:val="Hyperlink"/>
    <w:basedOn w:val="DefaultParagraphFont"/>
    <w:uiPriority w:val="99"/>
    <w:semiHidden/>
    <w:unhideWhenUsed/>
    <w:rsid w:val="00971C01"/>
    <w:rPr>
      <w:strike w:val="0"/>
      <w:dstrike w:val="0"/>
      <w:color w:val="0098DB"/>
      <w:u w:val="none"/>
      <w:effect w:val="none"/>
    </w:rPr>
  </w:style>
  <w:style w:type="paragraph" w:styleId="NormalWeb">
    <w:name w:val="Normal (Web)"/>
    <w:basedOn w:val="Normal"/>
    <w:uiPriority w:val="99"/>
    <w:semiHidden/>
    <w:unhideWhenUsed/>
    <w:rsid w:val="00971C01"/>
    <w:pPr>
      <w:spacing w:before="100" w:beforeAutospacing="1" w:after="100" w:afterAutospacing="1"/>
      <w:ind w:firstLine="0"/>
      <w:jc w:val="left"/>
    </w:pPr>
    <w:rPr>
      <w:rFonts w:eastAsia="Times New Roman" w:cs="Times New Roman"/>
      <w:kern w:val="0"/>
      <w:szCs w:val="24"/>
    </w:rPr>
  </w:style>
  <w:style w:type="character" w:customStyle="1" w:styleId="cohl">
    <w:name w:val="co_hl"/>
    <w:basedOn w:val="DefaultParagraphFont"/>
    <w:rsid w:val="002C2BA7"/>
  </w:style>
  <w:style w:type="paragraph" w:styleId="Header">
    <w:name w:val="header"/>
    <w:basedOn w:val="Normal"/>
    <w:link w:val="HeaderChar"/>
    <w:uiPriority w:val="99"/>
    <w:unhideWhenUsed/>
    <w:rsid w:val="006E557F"/>
    <w:pPr>
      <w:tabs>
        <w:tab w:val="center" w:pos="4680"/>
        <w:tab w:val="right" w:pos="9360"/>
      </w:tabs>
    </w:pPr>
  </w:style>
  <w:style w:type="character" w:customStyle="1" w:styleId="HeaderChar">
    <w:name w:val="Header Char"/>
    <w:basedOn w:val="DefaultParagraphFont"/>
    <w:link w:val="Header"/>
    <w:uiPriority w:val="99"/>
    <w:rsid w:val="006E557F"/>
    <w:rPr>
      <w:rFonts w:ascii="Times New Roman" w:hAnsi="Times New Roman"/>
      <w:kern w:val="24"/>
      <w:sz w:val="24"/>
    </w:rPr>
  </w:style>
  <w:style w:type="paragraph" w:styleId="Footer">
    <w:name w:val="footer"/>
    <w:basedOn w:val="Normal"/>
    <w:link w:val="FooterChar"/>
    <w:uiPriority w:val="99"/>
    <w:unhideWhenUsed/>
    <w:rsid w:val="006E557F"/>
    <w:pPr>
      <w:tabs>
        <w:tab w:val="center" w:pos="4680"/>
        <w:tab w:val="right" w:pos="9360"/>
      </w:tabs>
    </w:pPr>
  </w:style>
  <w:style w:type="character" w:customStyle="1" w:styleId="FooterChar">
    <w:name w:val="Footer Char"/>
    <w:basedOn w:val="DefaultParagraphFont"/>
    <w:link w:val="Footer"/>
    <w:uiPriority w:val="99"/>
    <w:rsid w:val="006E557F"/>
    <w:rPr>
      <w:rFonts w:ascii="Times New Roman" w:hAnsi="Times New Roman"/>
      <w:kern w:val="24"/>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474799"/>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character" w:styleId="Hyperlink">
    <w:name w:val="Hyperlink"/>
    <w:basedOn w:val="DefaultParagraphFont"/>
    <w:uiPriority w:val="99"/>
    <w:semiHidden/>
    <w:unhideWhenUsed/>
    <w:rsid w:val="00971C01"/>
    <w:rPr>
      <w:strike w:val="0"/>
      <w:dstrike w:val="0"/>
      <w:color w:val="0098DB"/>
      <w:u w:val="none"/>
      <w:effect w:val="none"/>
    </w:rPr>
  </w:style>
  <w:style w:type="paragraph" w:styleId="NormalWeb">
    <w:name w:val="Normal (Web)"/>
    <w:basedOn w:val="Normal"/>
    <w:uiPriority w:val="99"/>
    <w:semiHidden/>
    <w:unhideWhenUsed/>
    <w:rsid w:val="00971C01"/>
    <w:pPr>
      <w:spacing w:before="100" w:beforeAutospacing="1" w:after="100" w:afterAutospacing="1"/>
      <w:ind w:firstLine="0"/>
      <w:jc w:val="left"/>
    </w:pPr>
    <w:rPr>
      <w:rFonts w:eastAsia="Times New Roman" w:cs="Times New Roman"/>
      <w:kern w:val="0"/>
      <w:szCs w:val="24"/>
    </w:rPr>
  </w:style>
  <w:style w:type="character" w:customStyle="1" w:styleId="cohl">
    <w:name w:val="co_hl"/>
    <w:basedOn w:val="DefaultParagraphFont"/>
    <w:rsid w:val="002C2BA7"/>
  </w:style>
  <w:style w:type="paragraph" w:styleId="Header">
    <w:name w:val="header"/>
    <w:basedOn w:val="Normal"/>
    <w:link w:val="HeaderChar"/>
    <w:uiPriority w:val="99"/>
    <w:unhideWhenUsed/>
    <w:rsid w:val="006E557F"/>
    <w:pPr>
      <w:tabs>
        <w:tab w:val="center" w:pos="4680"/>
        <w:tab w:val="right" w:pos="9360"/>
      </w:tabs>
    </w:pPr>
  </w:style>
  <w:style w:type="character" w:customStyle="1" w:styleId="HeaderChar">
    <w:name w:val="Header Char"/>
    <w:basedOn w:val="DefaultParagraphFont"/>
    <w:link w:val="Header"/>
    <w:uiPriority w:val="99"/>
    <w:rsid w:val="006E557F"/>
    <w:rPr>
      <w:rFonts w:ascii="Times New Roman" w:hAnsi="Times New Roman"/>
      <w:kern w:val="24"/>
      <w:sz w:val="24"/>
    </w:rPr>
  </w:style>
  <w:style w:type="paragraph" w:styleId="Footer">
    <w:name w:val="footer"/>
    <w:basedOn w:val="Normal"/>
    <w:link w:val="FooterChar"/>
    <w:uiPriority w:val="99"/>
    <w:unhideWhenUsed/>
    <w:rsid w:val="006E557F"/>
    <w:pPr>
      <w:tabs>
        <w:tab w:val="center" w:pos="4680"/>
        <w:tab w:val="right" w:pos="9360"/>
      </w:tabs>
    </w:pPr>
  </w:style>
  <w:style w:type="character" w:customStyle="1" w:styleId="FooterChar">
    <w:name w:val="Footer Char"/>
    <w:basedOn w:val="DefaultParagraphFont"/>
    <w:link w:val="Footer"/>
    <w:uiPriority w:val="99"/>
    <w:rsid w:val="006E557F"/>
    <w:rPr>
      <w:rFonts w:ascii="Times New Roman" w:hAnsi="Times New Roman"/>
      <w:kern w:val="24"/>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66493">
      <w:bodyDiv w:val="1"/>
      <w:marLeft w:val="0"/>
      <w:marRight w:val="0"/>
      <w:marTop w:val="0"/>
      <w:marBottom w:val="0"/>
      <w:divBdr>
        <w:top w:val="none" w:sz="0" w:space="0" w:color="auto"/>
        <w:left w:val="none" w:sz="0" w:space="0" w:color="auto"/>
        <w:bottom w:val="none" w:sz="0" w:space="0" w:color="auto"/>
        <w:right w:val="none" w:sz="0" w:space="0" w:color="auto"/>
      </w:divBdr>
    </w:div>
    <w:div w:id="103693684">
      <w:bodyDiv w:val="1"/>
      <w:marLeft w:val="0"/>
      <w:marRight w:val="0"/>
      <w:marTop w:val="0"/>
      <w:marBottom w:val="0"/>
      <w:divBdr>
        <w:top w:val="none" w:sz="0" w:space="0" w:color="auto"/>
        <w:left w:val="none" w:sz="0" w:space="0" w:color="auto"/>
        <w:bottom w:val="none" w:sz="0" w:space="0" w:color="auto"/>
        <w:right w:val="none" w:sz="0" w:space="0" w:color="auto"/>
      </w:divBdr>
    </w:div>
    <w:div w:id="106389909">
      <w:bodyDiv w:val="1"/>
      <w:marLeft w:val="0"/>
      <w:marRight w:val="0"/>
      <w:marTop w:val="0"/>
      <w:marBottom w:val="0"/>
      <w:divBdr>
        <w:top w:val="none" w:sz="0" w:space="0" w:color="auto"/>
        <w:left w:val="none" w:sz="0" w:space="0" w:color="auto"/>
        <w:bottom w:val="none" w:sz="0" w:space="0" w:color="auto"/>
        <w:right w:val="none" w:sz="0" w:space="0" w:color="auto"/>
      </w:divBdr>
      <w:divsChild>
        <w:div w:id="358512938">
          <w:marLeft w:val="0"/>
          <w:marRight w:val="0"/>
          <w:marTop w:val="240"/>
          <w:marBottom w:val="0"/>
          <w:divBdr>
            <w:top w:val="none" w:sz="0" w:space="0" w:color="auto"/>
            <w:left w:val="none" w:sz="0" w:space="0" w:color="auto"/>
            <w:bottom w:val="none" w:sz="0" w:space="0" w:color="auto"/>
            <w:right w:val="none" w:sz="0" w:space="0" w:color="auto"/>
          </w:divBdr>
          <w:divsChild>
            <w:div w:id="630672597">
              <w:marLeft w:val="0"/>
              <w:marRight w:val="0"/>
              <w:marTop w:val="0"/>
              <w:marBottom w:val="0"/>
              <w:divBdr>
                <w:top w:val="none" w:sz="0" w:space="0" w:color="auto"/>
                <w:left w:val="none" w:sz="0" w:space="0" w:color="auto"/>
                <w:bottom w:val="none" w:sz="0" w:space="0" w:color="auto"/>
                <w:right w:val="none" w:sz="0" w:space="0" w:color="auto"/>
              </w:divBdr>
            </w:div>
          </w:divsChild>
        </w:div>
        <w:div w:id="949895987">
          <w:marLeft w:val="0"/>
          <w:marRight w:val="0"/>
          <w:marTop w:val="240"/>
          <w:marBottom w:val="0"/>
          <w:divBdr>
            <w:top w:val="none" w:sz="0" w:space="0" w:color="auto"/>
            <w:left w:val="none" w:sz="0" w:space="0" w:color="auto"/>
            <w:bottom w:val="none" w:sz="0" w:space="0" w:color="auto"/>
            <w:right w:val="none" w:sz="0" w:space="0" w:color="auto"/>
          </w:divBdr>
          <w:divsChild>
            <w:div w:id="158860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69337">
      <w:bodyDiv w:val="1"/>
      <w:marLeft w:val="0"/>
      <w:marRight w:val="0"/>
      <w:marTop w:val="0"/>
      <w:marBottom w:val="0"/>
      <w:divBdr>
        <w:top w:val="none" w:sz="0" w:space="0" w:color="auto"/>
        <w:left w:val="none" w:sz="0" w:space="0" w:color="auto"/>
        <w:bottom w:val="none" w:sz="0" w:space="0" w:color="auto"/>
        <w:right w:val="none" w:sz="0" w:space="0" w:color="auto"/>
      </w:divBdr>
    </w:div>
    <w:div w:id="459997964">
      <w:bodyDiv w:val="1"/>
      <w:marLeft w:val="0"/>
      <w:marRight w:val="0"/>
      <w:marTop w:val="0"/>
      <w:marBottom w:val="0"/>
      <w:divBdr>
        <w:top w:val="none" w:sz="0" w:space="0" w:color="auto"/>
        <w:left w:val="none" w:sz="0" w:space="0" w:color="auto"/>
        <w:bottom w:val="none" w:sz="0" w:space="0" w:color="auto"/>
        <w:right w:val="none" w:sz="0" w:space="0" w:color="auto"/>
      </w:divBdr>
    </w:div>
    <w:div w:id="462238227">
      <w:bodyDiv w:val="1"/>
      <w:marLeft w:val="0"/>
      <w:marRight w:val="0"/>
      <w:marTop w:val="0"/>
      <w:marBottom w:val="0"/>
      <w:divBdr>
        <w:top w:val="none" w:sz="0" w:space="0" w:color="auto"/>
        <w:left w:val="none" w:sz="0" w:space="0" w:color="auto"/>
        <w:bottom w:val="none" w:sz="0" w:space="0" w:color="auto"/>
        <w:right w:val="none" w:sz="0" w:space="0" w:color="auto"/>
      </w:divBdr>
      <w:divsChild>
        <w:div w:id="1843081301">
          <w:marLeft w:val="0"/>
          <w:marRight w:val="0"/>
          <w:marTop w:val="0"/>
          <w:marBottom w:val="0"/>
          <w:divBdr>
            <w:top w:val="none" w:sz="0" w:space="0" w:color="auto"/>
            <w:left w:val="none" w:sz="0" w:space="0" w:color="auto"/>
            <w:bottom w:val="none" w:sz="0" w:space="0" w:color="auto"/>
            <w:right w:val="none" w:sz="0" w:space="0" w:color="auto"/>
          </w:divBdr>
        </w:div>
        <w:div w:id="683674695">
          <w:marLeft w:val="0"/>
          <w:marRight w:val="0"/>
          <w:marTop w:val="240"/>
          <w:marBottom w:val="0"/>
          <w:divBdr>
            <w:top w:val="none" w:sz="0" w:space="0" w:color="auto"/>
            <w:left w:val="none" w:sz="0" w:space="0" w:color="auto"/>
            <w:bottom w:val="none" w:sz="0" w:space="0" w:color="auto"/>
            <w:right w:val="none" w:sz="0" w:space="0" w:color="auto"/>
          </w:divBdr>
          <w:divsChild>
            <w:div w:id="134925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827263">
      <w:bodyDiv w:val="1"/>
      <w:marLeft w:val="0"/>
      <w:marRight w:val="0"/>
      <w:marTop w:val="0"/>
      <w:marBottom w:val="0"/>
      <w:divBdr>
        <w:top w:val="none" w:sz="0" w:space="0" w:color="auto"/>
        <w:left w:val="none" w:sz="0" w:space="0" w:color="auto"/>
        <w:bottom w:val="none" w:sz="0" w:space="0" w:color="auto"/>
        <w:right w:val="none" w:sz="0" w:space="0" w:color="auto"/>
      </w:divBdr>
    </w:div>
    <w:div w:id="708067998">
      <w:bodyDiv w:val="1"/>
      <w:marLeft w:val="0"/>
      <w:marRight w:val="0"/>
      <w:marTop w:val="0"/>
      <w:marBottom w:val="0"/>
      <w:divBdr>
        <w:top w:val="none" w:sz="0" w:space="0" w:color="auto"/>
        <w:left w:val="none" w:sz="0" w:space="0" w:color="auto"/>
        <w:bottom w:val="none" w:sz="0" w:space="0" w:color="auto"/>
        <w:right w:val="none" w:sz="0" w:space="0" w:color="auto"/>
      </w:divBdr>
    </w:div>
    <w:div w:id="803892598">
      <w:bodyDiv w:val="1"/>
      <w:marLeft w:val="0"/>
      <w:marRight w:val="0"/>
      <w:marTop w:val="0"/>
      <w:marBottom w:val="0"/>
      <w:divBdr>
        <w:top w:val="none" w:sz="0" w:space="0" w:color="auto"/>
        <w:left w:val="none" w:sz="0" w:space="0" w:color="auto"/>
        <w:bottom w:val="none" w:sz="0" w:space="0" w:color="auto"/>
        <w:right w:val="none" w:sz="0" w:space="0" w:color="auto"/>
      </w:divBdr>
    </w:div>
    <w:div w:id="1239366526">
      <w:bodyDiv w:val="1"/>
      <w:marLeft w:val="0"/>
      <w:marRight w:val="0"/>
      <w:marTop w:val="0"/>
      <w:marBottom w:val="0"/>
      <w:divBdr>
        <w:top w:val="none" w:sz="0" w:space="0" w:color="auto"/>
        <w:left w:val="none" w:sz="0" w:space="0" w:color="auto"/>
        <w:bottom w:val="none" w:sz="0" w:space="0" w:color="auto"/>
        <w:right w:val="none" w:sz="0" w:space="0" w:color="auto"/>
      </w:divBdr>
    </w:div>
    <w:div w:id="1513883732">
      <w:bodyDiv w:val="1"/>
      <w:marLeft w:val="0"/>
      <w:marRight w:val="0"/>
      <w:marTop w:val="0"/>
      <w:marBottom w:val="0"/>
      <w:divBdr>
        <w:top w:val="none" w:sz="0" w:space="0" w:color="auto"/>
        <w:left w:val="none" w:sz="0" w:space="0" w:color="auto"/>
        <w:bottom w:val="none" w:sz="0" w:space="0" w:color="auto"/>
        <w:right w:val="none" w:sz="0" w:space="0" w:color="auto"/>
      </w:divBdr>
    </w:div>
    <w:div w:id="1584876699">
      <w:bodyDiv w:val="1"/>
      <w:marLeft w:val="0"/>
      <w:marRight w:val="0"/>
      <w:marTop w:val="0"/>
      <w:marBottom w:val="0"/>
      <w:divBdr>
        <w:top w:val="none" w:sz="0" w:space="0" w:color="auto"/>
        <w:left w:val="none" w:sz="0" w:space="0" w:color="auto"/>
        <w:bottom w:val="none" w:sz="0" w:space="0" w:color="auto"/>
        <w:right w:val="none" w:sz="0" w:space="0" w:color="auto"/>
      </w:divBdr>
      <w:divsChild>
        <w:div w:id="220949370">
          <w:marLeft w:val="0"/>
          <w:marRight w:val="0"/>
          <w:marTop w:val="0"/>
          <w:marBottom w:val="0"/>
          <w:divBdr>
            <w:top w:val="none" w:sz="0" w:space="0" w:color="auto"/>
            <w:left w:val="none" w:sz="0" w:space="0" w:color="auto"/>
            <w:bottom w:val="none" w:sz="0" w:space="0" w:color="auto"/>
            <w:right w:val="none" w:sz="0" w:space="0" w:color="auto"/>
          </w:divBdr>
          <w:divsChild>
            <w:div w:id="7682226">
              <w:marLeft w:val="0"/>
              <w:marRight w:val="0"/>
              <w:marTop w:val="0"/>
              <w:marBottom w:val="0"/>
              <w:divBdr>
                <w:top w:val="none" w:sz="0" w:space="0" w:color="auto"/>
                <w:left w:val="none" w:sz="0" w:space="0" w:color="auto"/>
                <w:bottom w:val="none" w:sz="0" w:space="0" w:color="auto"/>
                <w:right w:val="none" w:sz="0" w:space="0" w:color="auto"/>
              </w:divBdr>
              <w:divsChild>
                <w:div w:id="1873883973">
                  <w:marLeft w:val="0"/>
                  <w:marRight w:val="0"/>
                  <w:marTop w:val="0"/>
                  <w:marBottom w:val="0"/>
                  <w:divBdr>
                    <w:top w:val="none" w:sz="0" w:space="0" w:color="auto"/>
                    <w:left w:val="none" w:sz="0" w:space="0" w:color="auto"/>
                    <w:bottom w:val="none" w:sz="0" w:space="0" w:color="auto"/>
                    <w:right w:val="none" w:sz="0" w:space="0" w:color="auto"/>
                  </w:divBdr>
                  <w:divsChild>
                    <w:div w:id="500894540">
                      <w:marLeft w:val="0"/>
                      <w:marRight w:val="0"/>
                      <w:marTop w:val="0"/>
                      <w:marBottom w:val="0"/>
                      <w:divBdr>
                        <w:top w:val="none" w:sz="0" w:space="0" w:color="auto"/>
                        <w:left w:val="none" w:sz="0" w:space="0" w:color="auto"/>
                        <w:bottom w:val="none" w:sz="0" w:space="0" w:color="auto"/>
                        <w:right w:val="none" w:sz="0" w:space="0" w:color="auto"/>
                      </w:divBdr>
                      <w:divsChild>
                        <w:div w:id="887646156">
                          <w:marLeft w:val="0"/>
                          <w:marRight w:val="0"/>
                          <w:marTop w:val="0"/>
                          <w:marBottom w:val="0"/>
                          <w:divBdr>
                            <w:top w:val="none" w:sz="0" w:space="0" w:color="auto"/>
                            <w:left w:val="none" w:sz="0" w:space="0" w:color="auto"/>
                            <w:bottom w:val="none" w:sz="0" w:space="0" w:color="auto"/>
                            <w:right w:val="none" w:sz="0" w:space="0" w:color="auto"/>
                          </w:divBdr>
                          <w:divsChild>
                            <w:div w:id="130049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2263451">
      <w:bodyDiv w:val="1"/>
      <w:marLeft w:val="0"/>
      <w:marRight w:val="0"/>
      <w:marTop w:val="0"/>
      <w:marBottom w:val="0"/>
      <w:divBdr>
        <w:top w:val="none" w:sz="0" w:space="0" w:color="auto"/>
        <w:left w:val="none" w:sz="0" w:space="0" w:color="auto"/>
        <w:bottom w:val="none" w:sz="0" w:space="0" w:color="auto"/>
        <w:right w:val="none" w:sz="0" w:space="0" w:color="auto"/>
      </w:divBdr>
    </w:div>
    <w:div w:id="2049452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2F279-4F10-49DA-9D10-6A9C5CAD6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3108</Words>
  <Characters>17717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SEC</Company>
  <LinksUpToDate>false</LinksUpToDate>
  <CharactersWithSpaces>20784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Lindell, Joseph</dc:creator>
  <cp:lastModifiedBy>Yosef Lindell</cp:lastModifiedBy>
  <cp:revision>11</cp:revision>
  <dcterms:created xsi:type="dcterms:W3CDTF">2017-10-27T16:03:00Z</dcterms:created>
  <dcterms:modified xsi:type="dcterms:W3CDTF">2017-11-05T17:13:00Z</dcterms:modified>
</cp:coreProperties>
</file>